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22" w:rsidRDefault="00790B22">
      <w:pPr>
        <w:pStyle w:val="Title"/>
      </w:pPr>
      <w:bookmarkStart w:id="0" w:name="_GoBack"/>
      <w:bookmarkEnd w:id="0"/>
    </w:p>
    <w:p w:rsidR="00790B22" w:rsidRDefault="00790B22">
      <w:pPr>
        <w:pStyle w:val="Title"/>
        <w:rPr>
          <w:rFonts w:ascii="Arial" w:hAnsi="Arial"/>
          <w:sz w:val="32"/>
        </w:rPr>
      </w:pPr>
      <w:r>
        <w:t>DRUG COURT OF NEW SOUTH WALES</w:t>
      </w:r>
    </w:p>
    <w:p w:rsidR="00790B22" w:rsidRDefault="00790B22">
      <w:pPr>
        <w:jc w:val="center"/>
      </w:pPr>
    </w:p>
    <w:p w:rsidR="00790B22" w:rsidRDefault="00790B22">
      <w:pPr>
        <w:jc w:val="cente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3"/>
        <w:gridCol w:w="6663"/>
      </w:tblGrid>
      <w:tr w:rsidR="00790B22">
        <w:tc>
          <w:tcPr>
            <w:tcW w:w="2943" w:type="dxa"/>
            <w:tcBorders>
              <w:top w:val="single" w:sz="6" w:space="0" w:color="000000"/>
              <w:left w:val="single" w:sz="6" w:space="0" w:color="000000"/>
              <w:bottom w:val="single" w:sz="6" w:space="0" w:color="000000"/>
              <w:right w:val="single" w:sz="6" w:space="0" w:color="000000"/>
            </w:tcBorders>
          </w:tcPr>
          <w:p w:rsidR="00790B22" w:rsidRDefault="00790B22">
            <w:pPr>
              <w:jc w:val="center"/>
              <w:rPr>
                <w:b/>
                <w:i/>
              </w:rPr>
            </w:pPr>
          </w:p>
          <w:p w:rsidR="00790B22" w:rsidRDefault="00790B22">
            <w:pPr>
              <w:jc w:val="center"/>
              <w:rPr>
                <w:b/>
                <w:i/>
              </w:rPr>
            </w:pPr>
            <w:r>
              <w:rPr>
                <w:b/>
                <w:i/>
              </w:rPr>
              <w:t>Policy 12</w:t>
            </w:r>
          </w:p>
          <w:p w:rsidR="00790B22" w:rsidRDefault="00790B22">
            <w:pPr>
              <w:jc w:val="center"/>
              <w:rPr>
                <w:b/>
                <w:i/>
              </w:rPr>
            </w:pPr>
          </w:p>
        </w:tc>
        <w:tc>
          <w:tcPr>
            <w:tcW w:w="6663" w:type="dxa"/>
            <w:tcBorders>
              <w:top w:val="single" w:sz="6" w:space="0" w:color="000000"/>
              <w:left w:val="single" w:sz="6" w:space="0" w:color="000000"/>
              <w:bottom w:val="single" w:sz="6" w:space="0" w:color="000000"/>
              <w:right w:val="single" w:sz="6" w:space="0" w:color="000000"/>
            </w:tcBorders>
          </w:tcPr>
          <w:p w:rsidR="00790B22" w:rsidRDefault="00790B22">
            <w:pPr>
              <w:jc w:val="center"/>
              <w:rPr>
                <w:b/>
              </w:rPr>
            </w:pPr>
          </w:p>
          <w:p w:rsidR="00790B22" w:rsidRDefault="00790B22">
            <w:pPr>
              <w:jc w:val="center"/>
            </w:pPr>
            <w:r>
              <w:rPr>
                <w:b/>
              </w:rPr>
              <w:t>Selection of participants</w:t>
            </w:r>
          </w:p>
        </w:tc>
      </w:tr>
      <w:tr w:rsidR="00790B22">
        <w:tc>
          <w:tcPr>
            <w:tcW w:w="2943" w:type="dxa"/>
            <w:tcBorders>
              <w:top w:val="single" w:sz="6" w:space="0" w:color="000000"/>
              <w:left w:val="single" w:sz="6" w:space="0" w:color="000000"/>
              <w:bottom w:val="single" w:sz="6" w:space="0" w:color="000000"/>
              <w:right w:val="single" w:sz="6" w:space="0" w:color="000000"/>
            </w:tcBorders>
          </w:tcPr>
          <w:p w:rsidR="00790B22" w:rsidRDefault="00790B22">
            <w:pPr>
              <w:jc w:val="center"/>
              <w:rPr>
                <w:b/>
                <w:i/>
              </w:rPr>
            </w:pPr>
          </w:p>
          <w:p w:rsidR="00790B22" w:rsidRDefault="00790B22">
            <w:pPr>
              <w:jc w:val="center"/>
              <w:rPr>
                <w:b/>
                <w:i/>
              </w:rPr>
            </w:pPr>
            <w:r>
              <w:rPr>
                <w:b/>
                <w:i/>
              </w:rPr>
              <w:t>Last Reviewed</w:t>
            </w:r>
          </w:p>
          <w:p w:rsidR="00790B22" w:rsidRDefault="00790B22">
            <w:pPr>
              <w:jc w:val="center"/>
              <w:rPr>
                <w:b/>
                <w:i/>
              </w:rPr>
            </w:pPr>
          </w:p>
          <w:p w:rsidR="00790B22" w:rsidRDefault="00790B22">
            <w:pPr>
              <w:jc w:val="center"/>
              <w:rPr>
                <w:b/>
                <w:i/>
              </w:rPr>
            </w:pPr>
          </w:p>
        </w:tc>
        <w:tc>
          <w:tcPr>
            <w:tcW w:w="6663" w:type="dxa"/>
            <w:tcBorders>
              <w:top w:val="single" w:sz="6" w:space="0" w:color="000000"/>
              <w:left w:val="single" w:sz="6" w:space="0" w:color="000000"/>
              <w:bottom w:val="single" w:sz="6" w:space="0" w:color="000000"/>
              <w:right w:val="single" w:sz="6" w:space="0" w:color="000000"/>
            </w:tcBorders>
          </w:tcPr>
          <w:p w:rsidR="00790B22" w:rsidRDefault="00790B22">
            <w:pPr>
              <w:jc w:val="center"/>
            </w:pPr>
          </w:p>
          <w:p w:rsidR="00790B22" w:rsidRPr="00790B22" w:rsidRDefault="00C13322">
            <w:pPr>
              <w:jc w:val="center"/>
              <w:rPr>
                <w:b/>
              </w:rPr>
            </w:pPr>
            <w:r>
              <w:rPr>
                <w:b/>
              </w:rPr>
              <w:t>November 2018</w:t>
            </w:r>
          </w:p>
          <w:p w:rsidR="00790B22" w:rsidRDefault="00790B22"/>
          <w:p w:rsidR="00790B22" w:rsidRDefault="00790B22">
            <w:pPr>
              <w:jc w:val="center"/>
            </w:pPr>
          </w:p>
        </w:tc>
      </w:tr>
    </w:tbl>
    <w:p w:rsidR="00790B22" w:rsidRDefault="00790B22">
      <w:pPr>
        <w:pStyle w:val="Header"/>
        <w:tabs>
          <w:tab w:val="clear" w:pos="4153"/>
          <w:tab w:val="clear" w:pos="8306"/>
        </w:tabs>
      </w:pPr>
    </w:p>
    <w:p w:rsidR="00790B22" w:rsidRDefault="00790B22">
      <w:pPr>
        <w:pStyle w:val="Heading1"/>
        <w:tabs>
          <w:tab w:val="left" w:pos="360"/>
        </w:tabs>
        <w:rPr>
          <w:rFonts w:ascii="Times New Roman" w:hAnsi="Times New Roman"/>
          <w:sz w:val="24"/>
        </w:rPr>
      </w:pPr>
      <w:r>
        <w:rPr>
          <w:rFonts w:ascii="Times New Roman" w:hAnsi="Times New Roman"/>
          <w:sz w:val="24"/>
        </w:rPr>
        <w:t>PURPOSES OF POLICY</w:t>
      </w:r>
    </w:p>
    <w:p w:rsidR="00790B22" w:rsidRDefault="00790B22"/>
    <w:p w:rsidR="00790B22" w:rsidRDefault="00790B22">
      <w:pPr>
        <w:pStyle w:val="BodyText2"/>
        <w:numPr>
          <w:ilvl w:val="0"/>
          <w:numId w:val="16"/>
        </w:numPr>
        <w:tabs>
          <w:tab w:val="left" w:pos="0"/>
          <w:tab w:val="left" w:pos="1276"/>
          <w:tab w:val="left" w:pos="1440"/>
        </w:tabs>
      </w:pPr>
      <w:r>
        <w:t>To ensure that the process of selection of participants for Drug Court programs is transparent, equitable and efficient.</w:t>
      </w:r>
    </w:p>
    <w:p w:rsidR="00790B22" w:rsidRPr="005C66AA" w:rsidRDefault="00790B22">
      <w:pPr>
        <w:numPr>
          <w:ilvl w:val="0"/>
          <w:numId w:val="16"/>
        </w:numPr>
        <w:tabs>
          <w:tab w:val="left" w:pos="0"/>
          <w:tab w:val="left" w:pos="1276"/>
          <w:tab w:val="left" w:pos="1440"/>
        </w:tabs>
        <w:jc w:val="both"/>
      </w:pPr>
      <w:r>
        <w:t xml:space="preserve">To enable participants to be selected for programs expeditiously, so as to reduce delay </w:t>
      </w:r>
      <w:r w:rsidRPr="005C66AA">
        <w:t>which can interfere with the effectiveness of treatment.</w:t>
      </w:r>
    </w:p>
    <w:p w:rsidR="00631A1F" w:rsidRPr="005C66AA" w:rsidRDefault="00631A1F">
      <w:pPr>
        <w:numPr>
          <w:ilvl w:val="0"/>
          <w:numId w:val="16"/>
        </w:numPr>
        <w:tabs>
          <w:tab w:val="left" w:pos="0"/>
          <w:tab w:val="left" w:pos="1276"/>
          <w:tab w:val="left" w:pos="1440"/>
        </w:tabs>
        <w:jc w:val="both"/>
      </w:pPr>
      <w:r w:rsidRPr="005C66AA">
        <w:t>To provide additional access to a Drug Court program for Aboriginal or Torres Strait Islander (“ATSI”) identifying offenders to assist in addressing the overrepresentation of Aboriginal persons in custody.</w:t>
      </w:r>
    </w:p>
    <w:p w:rsidR="00790B22" w:rsidRDefault="00790B22">
      <w:pPr>
        <w:numPr>
          <w:ilvl w:val="0"/>
          <w:numId w:val="16"/>
        </w:numPr>
        <w:tabs>
          <w:tab w:val="left" w:pos="0"/>
          <w:tab w:val="left" w:pos="1276"/>
          <w:tab w:val="left" w:pos="1440"/>
        </w:tabs>
        <w:jc w:val="both"/>
      </w:pPr>
      <w:r>
        <w:t>To enable referring courts to finalise cases of offenders who are not accepted by the Drug Court efficiently and expeditiously.</w:t>
      </w:r>
    </w:p>
    <w:p w:rsidR="00790B22" w:rsidRDefault="00790B22">
      <w:pPr>
        <w:jc w:val="both"/>
      </w:pPr>
    </w:p>
    <w:p w:rsidR="00790B22" w:rsidRDefault="00790B22">
      <w:pPr>
        <w:pStyle w:val="Heading1"/>
        <w:tabs>
          <w:tab w:val="left" w:pos="360"/>
        </w:tabs>
      </w:pPr>
      <w:r>
        <w:rPr>
          <w:rFonts w:ascii="Times New Roman" w:hAnsi="Times New Roman"/>
          <w:sz w:val="24"/>
        </w:rPr>
        <w:t>DEFINITIONS</w:t>
      </w:r>
    </w:p>
    <w:tbl>
      <w:tblPr>
        <w:tblW w:w="0" w:type="auto"/>
        <w:tblLayout w:type="fixed"/>
        <w:tblLook w:val="0000" w:firstRow="0" w:lastRow="0" w:firstColumn="0" w:lastColumn="0" w:noHBand="0" w:noVBand="0"/>
      </w:tblPr>
      <w:tblGrid>
        <w:gridCol w:w="2660"/>
        <w:gridCol w:w="6946"/>
      </w:tblGrid>
      <w:tr w:rsidR="00790B22">
        <w:tc>
          <w:tcPr>
            <w:tcW w:w="2660" w:type="dxa"/>
            <w:tcBorders>
              <w:top w:val="nil"/>
              <w:left w:val="nil"/>
              <w:bottom w:val="nil"/>
              <w:right w:val="nil"/>
            </w:tcBorders>
          </w:tcPr>
          <w:p w:rsidR="00790B22" w:rsidRDefault="00790B22">
            <w:pPr>
              <w:rPr>
                <w:b/>
              </w:rPr>
            </w:pPr>
            <w:r>
              <w:rPr>
                <w:b/>
                <w:i/>
              </w:rPr>
              <w:t>Act</w:t>
            </w:r>
            <w:r>
              <w:rPr>
                <w:b/>
              </w:rPr>
              <w:t xml:space="preserve"> </w:t>
            </w:r>
          </w:p>
        </w:tc>
        <w:tc>
          <w:tcPr>
            <w:tcW w:w="6946" w:type="dxa"/>
            <w:tcBorders>
              <w:top w:val="nil"/>
              <w:left w:val="nil"/>
              <w:bottom w:val="nil"/>
              <w:right w:val="nil"/>
            </w:tcBorders>
          </w:tcPr>
          <w:p w:rsidR="00790B22" w:rsidRDefault="00790B22">
            <w:pPr>
              <w:jc w:val="both"/>
              <w:rPr>
                <w:b/>
                <w:i/>
              </w:rPr>
            </w:pPr>
            <w:r>
              <w:t>means the Drug Court Act 1998</w:t>
            </w:r>
          </w:p>
        </w:tc>
      </w:tr>
      <w:tr w:rsidR="00790B22">
        <w:tc>
          <w:tcPr>
            <w:tcW w:w="2660" w:type="dxa"/>
            <w:tcBorders>
              <w:top w:val="nil"/>
              <w:left w:val="nil"/>
              <w:bottom w:val="nil"/>
              <w:right w:val="nil"/>
            </w:tcBorders>
          </w:tcPr>
          <w:p w:rsidR="00790B22" w:rsidRDefault="00790B22">
            <w:pPr>
              <w:rPr>
                <w:b/>
              </w:rPr>
            </w:pPr>
            <w:r>
              <w:rPr>
                <w:b/>
                <w:i/>
              </w:rPr>
              <w:t>Applicant</w:t>
            </w:r>
          </w:p>
        </w:tc>
        <w:tc>
          <w:tcPr>
            <w:tcW w:w="6946" w:type="dxa"/>
            <w:tcBorders>
              <w:top w:val="nil"/>
              <w:left w:val="nil"/>
              <w:bottom w:val="nil"/>
              <w:right w:val="nil"/>
            </w:tcBorders>
          </w:tcPr>
          <w:p w:rsidR="00790B22" w:rsidRDefault="00790B22">
            <w:pPr>
              <w:jc w:val="both"/>
              <w:rPr>
                <w:b/>
                <w:i/>
              </w:rPr>
            </w:pPr>
            <w:r>
              <w:t>means a person who is willing to be referred to the Drug Court under Section 6 of the Drug Court Act 1998</w:t>
            </w:r>
          </w:p>
        </w:tc>
      </w:tr>
      <w:tr w:rsidR="00790B22">
        <w:tc>
          <w:tcPr>
            <w:tcW w:w="2660" w:type="dxa"/>
            <w:tcBorders>
              <w:top w:val="nil"/>
              <w:left w:val="nil"/>
              <w:bottom w:val="nil"/>
              <w:right w:val="nil"/>
            </w:tcBorders>
          </w:tcPr>
          <w:p w:rsidR="00790B22" w:rsidRDefault="00790B22">
            <w:pPr>
              <w:rPr>
                <w:b/>
              </w:rPr>
            </w:pPr>
            <w:r>
              <w:rPr>
                <w:b/>
                <w:i/>
              </w:rPr>
              <w:t>Drug Court</w:t>
            </w:r>
            <w:r>
              <w:rPr>
                <w:b/>
              </w:rPr>
              <w:t xml:space="preserve"> </w:t>
            </w:r>
          </w:p>
        </w:tc>
        <w:tc>
          <w:tcPr>
            <w:tcW w:w="6946" w:type="dxa"/>
            <w:tcBorders>
              <w:top w:val="nil"/>
              <w:left w:val="nil"/>
              <w:bottom w:val="nil"/>
              <w:right w:val="nil"/>
            </w:tcBorders>
          </w:tcPr>
          <w:p w:rsidR="00790B22" w:rsidRDefault="00790B22">
            <w:pPr>
              <w:jc w:val="both"/>
              <w:rPr>
                <w:b/>
                <w:i/>
              </w:rPr>
            </w:pPr>
            <w:r>
              <w:t>means the Drug Court of N.S.W.</w:t>
            </w:r>
            <w:r>
              <w:rPr>
                <w:b/>
                <w:i/>
              </w:rPr>
              <w:t xml:space="preserve"> </w:t>
            </w:r>
          </w:p>
        </w:tc>
      </w:tr>
      <w:tr w:rsidR="00790B22">
        <w:tc>
          <w:tcPr>
            <w:tcW w:w="2660" w:type="dxa"/>
            <w:tcBorders>
              <w:top w:val="nil"/>
              <w:left w:val="nil"/>
              <w:bottom w:val="nil"/>
              <w:right w:val="nil"/>
            </w:tcBorders>
          </w:tcPr>
          <w:p w:rsidR="00790B22" w:rsidRDefault="00790B22">
            <w:pPr>
              <w:rPr>
                <w:b/>
                <w:i/>
              </w:rPr>
            </w:pPr>
            <w:r>
              <w:rPr>
                <w:b/>
                <w:i/>
              </w:rPr>
              <w:t>Drug Court program</w:t>
            </w:r>
          </w:p>
        </w:tc>
        <w:tc>
          <w:tcPr>
            <w:tcW w:w="6946" w:type="dxa"/>
            <w:tcBorders>
              <w:top w:val="nil"/>
              <w:left w:val="nil"/>
              <w:bottom w:val="nil"/>
              <w:right w:val="nil"/>
            </w:tcBorders>
          </w:tcPr>
          <w:p w:rsidR="00790B22" w:rsidRDefault="00790B22">
            <w:pPr>
              <w:jc w:val="both"/>
              <w:rPr>
                <w:b/>
                <w:i/>
              </w:rPr>
            </w:pPr>
            <w:r>
              <w:t>means the conditions accepted by the participant and imposed by the Court under section 7(3)(a) of the Act.</w:t>
            </w:r>
          </w:p>
        </w:tc>
      </w:tr>
      <w:tr w:rsidR="00790B22">
        <w:tc>
          <w:tcPr>
            <w:tcW w:w="2660" w:type="dxa"/>
            <w:tcBorders>
              <w:top w:val="nil"/>
              <w:left w:val="nil"/>
              <w:bottom w:val="nil"/>
              <w:right w:val="nil"/>
            </w:tcBorders>
          </w:tcPr>
          <w:p w:rsidR="00790B22" w:rsidRDefault="00790B22">
            <w:pPr>
              <w:rPr>
                <w:b/>
                <w:i/>
              </w:rPr>
            </w:pPr>
            <w:r>
              <w:rPr>
                <w:b/>
                <w:i/>
              </w:rPr>
              <w:t>Drug Court team</w:t>
            </w:r>
          </w:p>
        </w:tc>
        <w:tc>
          <w:tcPr>
            <w:tcW w:w="6946" w:type="dxa"/>
            <w:tcBorders>
              <w:top w:val="nil"/>
              <w:left w:val="nil"/>
              <w:bottom w:val="nil"/>
              <w:right w:val="nil"/>
            </w:tcBorders>
          </w:tcPr>
          <w:p w:rsidR="00790B22" w:rsidRDefault="00790B22" w:rsidP="00790B22">
            <w:pPr>
              <w:jc w:val="both"/>
              <w:rPr>
                <w:b/>
                <w:i/>
              </w:rPr>
            </w:pPr>
            <w:r>
              <w:t>means a Drug Court judge, the Registrar, the solicitor from the Legal Aid NSW (LA), the solicitor from the Office of the Director of Public Prosecutions, the Police Prosecutor, the Community Corrections co-ordinator and the Clinical Nurse Consultant who are attached to the Drug Court, and/or the alternates for each.</w:t>
            </w:r>
          </w:p>
        </w:tc>
      </w:tr>
      <w:tr w:rsidR="00790B22">
        <w:tc>
          <w:tcPr>
            <w:tcW w:w="2660" w:type="dxa"/>
            <w:tcBorders>
              <w:top w:val="nil"/>
              <w:left w:val="nil"/>
              <w:bottom w:val="nil"/>
              <w:right w:val="nil"/>
            </w:tcBorders>
          </w:tcPr>
          <w:p w:rsidR="00790B22" w:rsidRDefault="00790B22">
            <w:pPr>
              <w:rPr>
                <w:b/>
              </w:rPr>
            </w:pPr>
            <w:r>
              <w:rPr>
                <w:b/>
                <w:i/>
              </w:rPr>
              <w:t>Participant</w:t>
            </w:r>
            <w:r>
              <w:rPr>
                <w:b/>
              </w:rPr>
              <w:t xml:space="preserve"> </w:t>
            </w:r>
          </w:p>
        </w:tc>
        <w:tc>
          <w:tcPr>
            <w:tcW w:w="6946" w:type="dxa"/>
            <w:tcBorders>
              <w:top w:val="nil"/>
              <w:left w:val="nil"/>
              <w:bottom w:val="nil"/>
              <w:right w:val="nil"/>
            </w:tcBorders>
          </w:tcPr>
          <w:p w:rsidR="00790B22" w:rsidRDefault="00790B22">
            <w:pPr>
              <w:jc w:val="both"/>
              <w:rPr>
                <w:b/>
                <w:i/>
              </w:rPr>
            </w:pPr>
            <w:r>
              <w:t>means a “drug offender” as defined in the Drug Court Act 1998</w:t>
            </w:r>
          </w:p>
        </w:tc>
      </w:tr>
    </w:tbl>
    <w:p w:rsidR="00790B22" w:rsidRDefault="00790B22">
      <w:pPr>
        <w:pStyle w:val="Heading1"/>
        <w:tabs>
          <w:tab w:val="left" w:pos="360"/>
        </w:tabs>
      </w:pPr>
      <w:r>
        <w:rPr>
          <w:rFonts w:ascii="Times New Roman" w:hAnsi="Times New Roman"/>
          <w:sz w:val="24"/>
        </w:rPr>
        <w:t>POLICY</w:t>
      </w:r>
    </w:p>
    <w:p w:rsidR="00790B22" w:rsidRDefault="00790B22">
      <w:pPr>
        <w:pStyle w:val="Heading1"/>
        <w:tabs>
          <w:tab w:val="left" w:pos="360"/>
        </w:tabs>
        <w:rPr>
          <w:i/>
          <w:sz w:val="24"/>
        </w:rPr>
      </w:pPr>
      <w:r>
        <w:rPr>
          <w:i/>
          <w:sz w:val="24"/>
        </w:rPr>
        <w:t>1</w:t>
      </w:r>
      <w:r>
        <w:rPr>
          <w:i/>
          <w:sz w:val="24"/>
        </w:rPr>
        <w:tab/>
        <w:t>Referral of applicants</w:t>
      </w:r>
    </w:p>
    <w:p w:rsidR="00790B22" w:rsidRDefault="00790B22"/>
    <w:p w:rsidR="00790B22" w:rsidRDefault="00790B22">
      <w:pPr>
        <w:pStyle w:val="BodyText2"/>
        <w:tabs>
          <w:tab w:val="clear" w:pos="1080"/>
          <w:tab w:val="left" w:pos="0"/>
        </w:tabs>
        <w:ind w:left="1440" w:hanging="731"/>
      </w:pPr>
      <w:r>
        <w:rPr>
          <w:b/>
          <w:bCs/>
        </w:rPr>
        <w:t>1.1</w:t>
      </w:r>
      <w:r>
        <w:rPr>
          <w:b/>
          <w:bCs/>
        </w:rPr>
        <w:tab/>
      </w:r>
      <w:r>
        <w:t>To be eligible to enter a Drug Court program a person must meet the criteria set out in Section 5 of the Drug Court Act 1998, and clause 5 of the Drug Court Regulation.</w:t>
      </w:r>
    </w:p>
    <w:p w:rsidR="00790B22" w:rsidRDefault="00790B22">
      <w:pPr>
        <w:pStyle w:val="BodyText2"/>
        <w:tabs>
          <w:tab w:val="clear" w:pos="1080"/>
          <w:tab w:val="left" w:pos="0"/>
        </w:tabs>
        <w:ind w:left="709"/>
      </w:pPr>
    </w:p>
    <w:p w:rsidR="00790B22" w:rsidRDefault="00790B22">
      <w:pPr>
        <w:pStyle w:val="BodyText2"/>
        <w:tabs>
          <w:tab w:val="clear" w:pos="1080"/>
          <w:tab w:val="left" w:pos="0"/>
        </w:tabs>
        <w:ind w:left="1440" w:hanging="731"/>
        <w:rPr>
          <w:rFonts w:ascii="Times New (W1)" w:hAnsi="Times New (W1)"/>
        </w:rPr>
      </w:pPr>
      <w:r>
        <w:rPr>
          <w:b/>
          <w:bCs/>
        </w:rPr>
        <w:t>1.2</w:t>
      </w:r>
      <w:r>
        <w:tab/>
        <w:t>If a person appearing before a referring Court appears eligible and willing to take part in a Drug Court program, that Court must refer the person to the Drug Court</w:t>
      </w:r>
      <w:r>
        <w:rPr>
          <w:rStyle w:val="EndnoteReference"/>
        </w:rPr>
        <w:endnoteReference w:id="1"/>
      </w:r>
      <w:r>
        <w:t>.</w:t>
      </w:r>
    </w:p>
    <w:p w:rsidR="00790B22" w:rsidRDefault="00790B22">
      <w:pPr>
        <w:pStyle w:val="BodyText2"/>
        <w:tabs>
          <w:tab w:val="clear" w:pos="1080"/>
          <w:tab w:val="left" w:pos="0"/>
        </w:tabs>
        <w:ind w:left="709"/>
      </w:pPr>
    </w:p>
    <w:p w:rsidR="00790B22" w:rsidRDefault="00790B22">
      <w:pPr>
        <w:pStyle w:val="BodyText2"/>
        <w:tabs>
          <w:tab w:val="clear" w:pos="1080"/>
          <w:tab w:val="left" w:pos="0"/>
        </w:tabs>
        <w:ind w:left="1440" w:hanging="731"/>
      </w:pPr>
      <w:r>
        <w:rPr>
          <w:b/>
          <w:bCs/>
        </w:rPr>
        <w:t>1.3</w:t>
      </w:r>
      <w:r>
        <w:tab/>
        <w:t>If a sentencing Judge or Magistrate directs that a person be referred to the Drug Court, the Court Officer at the referring court advises the Drug Court registry by telephone of the name and case details of the applicant.</w:t>
      </w:r>
    </w:p>
    <w:p w:rsidR="00790B22" w:rsidRDefault="00790B22">
      <w:pPr>
        <w:pStyle w:val="BodyText2"/>
        <w:tabs>
          <w:tab w:val="clear" w:pos="1080"/>
          <w:tab w:val="left" w:pos="0"/>
        </w:tabs>
        <w:ind w:left="1440" w:hanging="731"/>
      </w:pPr>
    </w:p>
    <w:p w:rsidR="00790B22" w:rsidRDefault="00790B22">
      <w:pPr>
        <w:pStyle w:val="BodyText2"/>
        <w:tabs>
          <w:tab w:val="clear" w:pos="1080"/>
          <w:tab w:val="left" w:pos="0"/>
        </w:tabs>
        <w:ind w:left="1440" w:hanging="731"/>
      </w:pPr>
      <w:r>
        <w:rPr>
          <w:rStyle w:val="block"/>
          <w:b/>
          <w:bCs/>
        </w:rPr>
        <w:t>1.4</w:t>
      </w:r>
      <w:r>
        <w:rPr>
          <w:rStyle w:val="block"/>
        </w:rPr>
        <w:tab/>
        <w:t>As the program resources are limited, a ballot may need to be held to determine which referred offenders can be considered for a Drug Court program</w:t>
      </w:r>
      <w:r>
        <w:rPr>
          <w:rStyle w:val="EndnoteReference"/>
        </w:rPr>
        <w:endnoteReference w:id="2"/>
      </w:r>
      <w:r>
        <w:rPr>
          <w:rStyle w:val="block"/>
        </w:rPr>
        <w:t>.</w:t>
      </w:r>
    </w:p>
    <w:p w:rsidR="00790B22" w:rsidRDefault="00790B22">
      <w:pPr>
        <w:pStyle w:val="Heading1"/>
        <w:tabs>
          <w:tab w:val="left" w:pos="360"/>
        </w:tabs>
        <w:jc w:val="both"/>
        <w:rPr>
          <w:i/>
          <w:sz w:val="24"/>
        </w:rPr>
      </w:pPr>
      <w:r>
        <w:rPr>
          <w:i/>
          <w:sz w:val="24"/>
        </w:rPr>
        <w:t>2</w:t>
      </w:r>
      <w:r>
        <w:rPr>
          <w:i/>
          <w:sz w:val="24"/>
        </w:rPr>
        <w:tab/>
        <w:t>The manner of selection</w:t>
      </w:r>
    </w:p>
    <w:p w:rsidR="00790B22" w:rsidRDefault="00790B22">
      <w:pPr>
        <w:jc w:val="both"/>
      </w:pPr>
    </w:p>
    <w:p w:rsidR="00790B22" w:rsidRDefault="00790B22">
      <w:pPr>
        <w:tabs>
          <w:tab w:val="left" w:pos="1418"/>
        </w:tabs>
        <w:ind w:left="1418" w:hanging="709"/>
        <w:jc w:val="both"/>
      </w:pPr>
      <w:r>
        <w:rPr>
          <w:b/>
          <w:bCs/>
        </w:rPr>
        <w:t>2.1</w:t>
      </w:r>
      <w:r>
        <w:rPr>
          <w:b/>
          <w:bCs/>
        </w:rPr>
        <w:tab/>
      </w:r>
      <w:r>
        <w:t xml:space="preserve">Once each week the Registrar, in consultation with the Drug Court team, will determine the number of program places available for females and for males. </w:t>
      </w:r>
    </w:p>
    <w:p w:rsidR="00790B22" w:rsidRDefault="00790B22">
      <w:pPr>
        <w:tabs>
          <w:tab w:val="left" w:pos="1418"/>
        </w:tabs>
        <w:ind w:left="1418" w:hanging="709"/>
        <w:jc w:val="both"/>
        <w:rPr>
          <w:b/>
          <w:bCs/>
        </w:rPr>
      </w:pPr>
    </w:p>
    <w:p w:rsidR="00790B22" w:rsidRDefault="00790B22">
      <w:pPr>
        <w:tabs>
          <w:tab w:val="left" w:pos="1418"/>
        </w:tabs>
        <w:ind w:left="1418" w:hanging="709"/>
        <w:jc w:val="both"/>
      </w:pPr>
      <w:r>
        <w:rPr>
          <w:b/>
          <w:bCs/>
        </w:rPr>
        <w:t>2.2</w:t>
      </w:r>
      <w:r>
        <w:tab/>
        <w:t>If there are sufficient places available, all applicants will be accepted.</w:t>
      </w:r>
    </w:p>
    <w:p w:rsidR="00790B22" w:rsidRDefault="00790B22">
      <w:pPr>
        <w:tabs>
          <w:tab w:val="left" w:pos="1418"/>
        </w:tabs>
        <w:ind w:left="1418" w:hanging="709"/>
        <w:jc w:val="both"/>
        <w:rPr>
          <w:b/>
          <w:bCs/>
        </w:rPr>
      </w:pPr>
    </w:p>
    <w:p w:rsidR="00790B22" w:rsidRDefault="00790B22">
      <w:pPr>
        <w:numPr>
          <w:ilvl w:val="1"/>
          <w:numId w:val="10"/>
        </w:numPr>
        <w:tabs>
          <w:tab w:val="clear" w:pos="1069"/>
          <w:tab w:val="num" w:pos="1418"/>
        </w:tabs>
        <w:ind w:left="1418" w:hanging="709"/>
        <w:jc w:val="both"/>
      </w:pPr>
      <w:r>
        <w:t>If there are more referred applicants than available places, the names of apparently eligible applicants for entry will be placed in a ballot.</w:t>
      </w:r>
    </w:p>
    <w:p w:rsidR="00790B22" w:rsidRDefault="00790B22">
      <w:pPr>
        <w:tabs>
          <w:tab w:val="left" w:pos="1418"/>
        </w:tabs>
        <w:jc w:val="both"/>
      </w:pPr>
    </w:p>
    <w:p w:rsidR="00790B22" w:rsidRDefault="00790B22">
      <w:pPr>
        <w:tabs>
          <w:tab w:val="left" w:pos="1418"/>
        </w:tabs>
        <w:ind w:left="1418" w:hanging="709"/>
        <w:jc w:val="both"/>
        <w:rPr>
          <w:lang w:val="en-US"/>
        </w:rPr>
      </w:pPr>
      <w:r>
        <w:rPr>
          <w:b/>
          <w:bCs/>
          <w:lang w:val="en-US"/>
        </w:rPr>
        <w:t>2.4</w:t>
      </w:r>
      <w:r>
        <w:rPr>
          <w:lang w:val="en-US"/>
        </w:rPr>
        <w:tab/>
        <w:t>The Registrar will not include in the ballot the name of any applicant who has been referred to the Drug Court by a Court that is not a referring Court as defined in the Regulation.</w:t>
      </w:r>
    </w:p>
    <w:p w:rsidR="00790B22" w:rsidRDefault="00790B22">
      <w:pPr>
        <w:tabs>
          <w:tab w:val="left" w:pos="1418"/>
        </w:tabs>
        <w:ind w:left="1418" w:hanging="709"/>
        <w:jc w:val="both"/>
        <w:rPr>
          <w:sz w:val="28"/>
        </w:rPr>
      </w:pPr>
    </w:p>
    <w:p w:rsidR="00790B22" w:rsidRDefault="00790B22">
      <w:pPr>
        <w:tabs>
          <w:tab w:val="left" w:pos="1418"/>
        </w:tabs>
        <w:ind w:left="1418" w:hanging="709"/>
        <w:jc w:val="both"/>
      </w:pPr>
      <w:r>
        <w:rPr>
          <w:b/>
          <w:bCs/>
        </w:rPr>
        <w:t>2.5</w:t>
      </w:r>
      <w:r>
        <w:tab/>
        <w:t xml:space="preserve">The Registrar will not include in the ballot the name of an applicant who appears to have had their case or cases adjourned to a referring Court for the sole purpose of gaining access to a Drug Court program.  This clause does not prevent a participant being included in the ballot who has been granted an appropriate adjournment to a referring court (for example, to allow the adjourned matters to link up with other matters properly at a referring court). </w:t>
      </w:r>
    </w:p>
    <w:p w:rsidR="00790B22" w:rsidRDefault="00790B22">
      <w:pPr>
        <w:tabs>
          <w:tab w:val="left" w:pos="1418"/>
        </w:tabs>
        <w:ind w:left="1418" w:hanging="709"/>
        <w:jc w:val="both"/>
      </w:pPr>
    </w:p>
    <w:p w:rsidR="00790B22" w:rsidRDefault="00790B22">
      <w:pPr>
        <w:tabs>
          <w:tab w:val="left" w:pos="1418"/>
        </w:tabs>
        <w:ind w:left="1418" w:hanging="698"/>
        <w:jc w:val="both"/>
      </w:pPr>
      <w:r>
        <w:rPr>
          <w:b/>
          <w:bCs/>
        </w:rPr>
        <w:t>2.6</w:t>
      </w:r>
      <w:r>
        <w:tab/>
        <w:t>A computer generated random selection will be made from the pool of eligible applicants to meet the number of available places.</w:t>
      </w:r>
    </w:p>
    <w:p w:rsidR="00790B22" w:rsidRDefault="00790B22">
      <w:pPr>
        <w:tabs>
          <w:tab w:val="left" w:pos="1418"/>
        </w:tabs>
        <w:ind w:left="720"/>
        <w:jc w:val="both"/>
      </w:pPr>
    </w:p>
    <w:p w:rsidR="00790B22" w:rsidRPr="009A7C91" w:rsidRDefault="00790B22">
      <w:pPr>
        <w:tabs>
          <w:tab w:val="left" w:pos="1418"/>
        </w:tabs>
        <w:ind w:left="1418" w:hanging="698"/>
        <w:jc w:val="both"/>
      </w:pPr>
      <w:r>
        <w:rPr>
          <w:b/>
          <w:bCs/>
        </w:rPr>
        <w:t>2.7</w:t>
      </w:r>
      <w:r>
        <w:tab/>
      </w:r>
      <w:r w:rsidRPr="009A7C91">
        <w:t>If there are sufficient places available for all applicants of a particular gender, applicants of that gender may be accepted without being placed in a ballot, even though a ballot may be necessary for applicants of the other gender.</w:t>
      </w:r>
    </w:p>
    <w:p w:rsidR="00790B22" w:rsidRDefault="00790B22">
      <w:pPr>
        <w:tabs>
          <w:tab w:val="left" w:pos="1418"/>
        </w:tabs>
        <w:ind w:left="1418" w:hanging="709"/>
        <w:jc w:val="both"/>
      </w:pPr>
    </w:p>
    <w:p w:rsidR="00790B22" w:rsidRDefault="00790B22">
      <w:pPr>
        <w:tabs>
          <w:tab w:val="left" w:pos="1418"/>
        </w:tabs>
        <w:ind w:left="1418" w:hanging="709"/>
        <w:jc w:val="both"/>
        <w:rPr>
          <w:b/>
          <w:bCs/>
        </w:rPr>
      </w:pPr>
      <w:r>
        <w:rPr>
          <w:b/>
          <w:bCs/>
        </w:rPr>
        <w:t>Applicants who may not be “eligible” offenders</w:t>
      </w:r>
    </w:p>
    <w:p w:rsidR="00790B22" w:rsidRDefault="00790B22">
      <w:pPr>
        <w:tabs>
          <w:tab w:val="left" w:pos="1418"/>
        </w:tabs>
        <w:ind w:left="1418" w:hanging="709"/>
        <w:jc w:val="both"/>
      </w:pPr>
    </w:p>
    <w:p w:rsidR="00790B22" w:rsidRDefault="00790B22">
      <w:pPr>
        <w:tabs>
          <w:tab w:val="left" w:pos="1418"/>
        </w:tabs>
        <w:ind w:left="1429" w:hanging="709"/>
        <w:jc w:val="both"/>
      </w:pPr>
      <w:r>
        <w:rPr>
          <w:b/>
          <w:bCs/>
        </w:rPr>
        <w:t>2.8</w:t>
      </w:r>
      <w:r>
        <w:tab/>
        <w:t>If it is apparent to the solicitor for the ODPP or the Police Prosecutor that a referred person is not an eligible offender, the ODPP solicitor or Police Prosecutor will advise the Registrar and the solicitor for Legal Aid of that fact as soon as possible, preferably by email.</w:t>
      </w:r>
    </w:p>
    <w:p w:rsidR="00790B22" w:rsidRDefault="00790B22">
      <w:pPr>
        <w:tabs>
          <w:tab w:val="left" w:pos="1418"/>
        </w:tabs>
        <w:ind w:left="1418" w:hanging="709"/>
        <w:jc w:val="both"/>
      </w:pPr>
    </w:p>
    <w:p w:rsidR="00790B22" w:rsidRDefault="00790B22">
      <w:pPr>
        <w:tabs>
          <w:tab w:val="left" w:pos="1418"/>
        </w:tabs>
        <w:ind w:left="1429" w:hanging="709"/>
        <w:jc w:val="both"/>
      </w:pPr>
      <w:r>
        <w:rPr>
          <w:b/>
          <w:bCs/>
        </w:rPr>
        <w:t>2.9</w:t>
      </w:r>
      <w:r>
        <w:tab/>
        <w:t>The Registrar will submit that information, together with any available documents, to the Judge in chambers or in court.  The Judge will then determine whether or not the referred person should be included in any ballot conducted.</w:t>
      </w:r>
    </w:p>
    <w:p w:rsidR="00790B22" w:rsidRDefault="00790B22">
      <w:pPr>
        <w:tabs>
          <w:tab w:val="left" w:pos="1418"/>
        </w:tabs>
        <w:ind w:left="1418" w:hanging="709"/>
        <w:jc w:val="both"/>
      </w:pPr>
    </w:p>
    <w:p w:rsidR="00790B22" w:rsidRDefault="00790B22">
      <w:pPr>
        <w:tabs>
          <w:tab w:val="left" w:pos="1418"/>
        </w:tabs>
        <w:ind w:left="1418" w:hanging="709"/>
        <w:jc w:val="both"/>
      </w:pPr>
      <w:r>
        <w:rPr>
          <w:b/>
          <w:bCs/>
        </w:rPr>
        <w:t>2.10</w:t>
      </w:r>
      <w:r>
        <w:rPr>
          <w:b/>
          <w:bCs/>
        </w:rPr>
        <w:tab/>
      </w:r>
      <w:r>
        <w:t>The Judge may also decide that the referred person’s application to the Drug Court be deferred to a later ballot, so as to allow any necessary information regarding eligibility to be obtained.</w:t>
      </w:r>
    </w:p>
    <w:p w:rsidR="00790B22" w:rsidRDefault="00790B22">
      <w:pPr>
        <w:tabs>
          <w:tab w:val="left" w:pos="1418"/>
        </w:tabs>
        <w:ind w:left="1418" w:hanging="709"/>
        <w:jc w:val="both"/>
      </w:pPr>
    </w:p>
    <w:p w:rsidR="00790B22" w:rsidRDefault="00790B22">
      <w:pPr>
        <w:tabs>
          <w:tab w:val="left" w:pos="1418"/>
        </w:tabs>
        <w:ind w:left="1418" w:hanging="709"/>
        <w:jc w:val="both"/>
      </w:pPr>
      <w:r>
        <w:rPr>
          <w:b/>
          <w:bCs/>
        </w:rPr>
        <w:t>2.11</w:t>
      </w:r>
      <w:r>
        <w:tab/>
        <w:t>If it is later found that a referred person has been incorrectly excluded from the ballot, then the judge may determine that the offender (if still unsentenced) be included in a subsequent ballot.</w:t>
      </w:r>
    </w:p>
    <w:p w:rsidR="00790B22" w:rsidRDefault="00790B22">
      <w:pPr>
        <w:tabs>
          <w:tab w:val="left" w:pos="1418"/>
        </w:tabs>
        <w:ind w:left="1418" w:hanging="709"/>
        <w:jc w:val="both"/>
      </w:pPr>
    </w:p>
    <w:p w:rsidR="00790B22" w:rsidRDefault="00790B22">
      <w:pPr>
        <w:pStyle w:val="Heading4"/>
        <w:ind w:firstLine="709"/>
      </w:pPr>
      <w:r>
        <w:t>Applicants who may not be “appropriate”</w:t>
      </w:r>
      <w:r>
        <w:rPr>
          <w:rStyle w:val="EndnoteReference"/>
        </w:rPr>
        <w:endnoteReference w:id="3"/>
      </w:r>
      <w:r>
        <w:t xml:space="preserve"> </w:t>
      </w:r>
    </w:p>
    <w:p w:rsidR="00790B22" w:rsidRDefault="00790B22">
      <w:pPr>
        <w:tabs>
          <w:tab w:val="left" w:pos="1418"/>
        </w:tabs>
        <w:jc w:val="both"/>
      </w:pPr>
    </w:p>
    <w:p w:rsidR="00790B22" w:rsidRDefault="00790B22">
      <w:pPr>
        <w:tabs>
          <w:tab w:val="left" w:pos="1418"/>
        </w:tabs>
        <w:jc w:val="both"/>
        <w:rPr>
          <w:b/>
          <w:bCs/>
        </w:rPr>
      </w:pPr>
      <w:r>
        <w:tab/>
      </w:r>
      <w:r>
        <w:rPr>
          <w:b/>
          <w:bCs/>
        </w:rPr>
        <w:t>Pre-ballot:</w:t>
      </w:r>
    </w:p>
    <w:p w:rsidR="00790B22" w:rsidRDefault="00790B22">
      <w:pPr>
        <w:overflowPunct/>
        <w:jc w:val="both"/>
        <w:textAlignment w:val="auto"/>
        <w:rPr>
          <w:b/>
          <w:bCs/>
          <w:color w:val="000000"/>
          <w:szCs w:val="24"/>
          <w:lang w:val="en-US"/>
        </w:rPr>
      </w:pPr>
    </w:p>
    <w:p w:rsidR="00790B22" w:rsidRDefault="00790B22">
      <w:pPr>
        <w:overflowPunct/>
        <w:ind w:left="1440" w:hanging="720"/>
        <w:jc w:val="both"/>
        <w:textAlignment w:val="auto"/>
        <w:rPr>
          <w:b/>
          <w:bCs/>
          <w:color w:val="000000"/>
          <w:szCs w:val="24"/>
          <w:lang w:val="en-US"/>
        </w:rPr>
      </w:pPr>
      <w:r>
        <w:rPr>
          <w:b/>
          <w:bCs/>
        </w:rPr>
        <w:t>2.12</w:t>
      </w:r>
      <w:r>
        <w:tab/>
        <w:t xml:space="preserve">So as to ensure that persons who are apparently inappropriate for the program do not displace persons who are apparently “appropriate” for a Drug Court in the ballot, the Drug Court will, before the ballot is run, scrutinise the question of the “appropriateness” of the referred applicants. </w:t>
      </w:r>
    </w:p>
    <w:p w:rsidR="00790B22" w:rsidRDefault="00790B22">
      <w:pPr>
        <w:tabs>
          <w:tab w:val="left" w:pos="1418"/>
        </w:tabs>
        <w:ind w:left="1418" w:hanging="698"/>
        <w:jc w:val="both"/>
      </w:pPr>
    </w:p>
    <w:p w:rsidR="00790B22" w:rsidRDefault="00790B22">
      <w:pPr>
        <w:tabs>
          <w:tab w:val="left" w:pos="1418"/>
        </w:tabs>
        <w:ind w:left="382"/>
        <w:jc w:val="both"/>
      </w:pPr>
    </w:p>
    <w:p w:rsidR="00790B22" w:rsidRDefault="00790B22">
      <w:pPr>
        <w:tabs>
          <w:tab w:val="left" w:pos="1418"/>
        </w:tabs>
        <w:ind w:left="1418" w:hanging="698"/>
        <w:jc w:val="both"/>
      </w:pPr>
      <w:r>
        <w:rPr>
          <w:b/>
          <w:bCs/>
        </w:rPr>
        <w:t>2.13</w:t>
      </w:r>
      <w:r>
        <w:tab/>
        <w:t>Previous participation in a Drug Court program, or the previous opportunity of undertaking a Compulsory Drug Treatment Order, is relevant to the question of being “appropriate”.  This factor is to be taken into account when the number of applicants and/or the number of participants currently on program is high.  See also paragraph 6 of this policy.</w:t>
      </w:r>
    </w:p>
    <w:p w:rsidR="00790B22" w:rsidRDefault="00790B22">
      <w:pPr>
        <w:tabs>
          <w:tab w:val="left" w:pos="1418"/>
        </w:tabs>
        <w:ind w:left="382"/>
        <w:jc w:val="both"/>
      </w:pPr>
    </w:p>
    <w:p w:rsidR="00790B22" w:rsidRDefault="00790B22">
      <w:pPr>
        <w:tabs>
          <w:tab w:val="left" w:pos="1418"/>
        </w:tabs>
        <w:jc w:val="both"/>
      </w:pPr>
    </w:p>
    <w:p w:rsidR="00790B22" w:rsidRDefault="00790B22">
      <w:pPr>
        <w:tabs>
          <w:tab w:val="left" w:pos="1418"/>
        </w:tabs>
        <w:ind w:left="1418" w:hanging="698"/>
        <w:jc w:val="both"/>
      </w:pPr>
      <w:r>
        <w:rPr>
          <w:b/>
          <w:bCs/>
        </w:rPr>
        <w:t>2.14</w:t>
      </w:r>
      <w:r>
        <w:tab/>
        <w:t xml:space="preserve">If it is apparent to the solicitor for the ODPP or the Police Prosecutor that a referred person may not be an “appropriate” person, given his or her antecedents, the ODPP solicitor or Police Prosecutor will advise the Registrar and the solicitor for </w:t>
      </w:r>
      <w:r w:rsidR="009A7C91">
        <w:t>Legal Aid</w:t>
      </w:r>
      <w:r>
        <w:t xml:space="preserve"> of that fact as soon as possible, preferably by email. </w:t>
      </w:r>
    </w:p>
    <w:p w:rsidR="00790B22" w:rsidRDefault="00790B22">
      <w:pPr>
        <w:tabs>
          <w:tab w:val="left" w:pos="1418"/>
        </w:tabs>
        <w:ind w:left="1418" w:hanging="698"/>
        <w:jc w:val="both"/>
      </w:pPr>
    </w:p>
    <w:p w:rsidR="00790B22" w:rsidRDefault="00790B22">
      <w:pPr>
        <w:tabs>
          <w:tab w:val="left" w:pos="1418"/>
        </w:tabs>
        <w:jc w:val="both"/>
      </w:pPr>
    </w:p>
    <w:p w:rsidR="00790B22" w:rsidRDefault="00790B22">
      <w:pPr>
        <w:tabs>
          <w:tab w:val="left" w:pos="1418"/>
        </w:tabs>
        <w:ind w:left="1418" w:hanging="698"/>
        <w:jc w:val="both"/>
      </w:pPr>
      <w:r>
        <w:rPr>
          <w:b/>
          <w:bCs/>
        </w:rPr>
        <w:t>2.15</w:t>
      </w:r>
      <w:r>
        <w:tab/>
        <w:t>The Registrar will submit that information, together with any available documents, to the Judge in chambers or in court.  The Judge will then determine whether or not the referred person should be included in any ballot conducted.  If the Judge determines that the referred person is inappropriate for program, the Registrar, DPP and Legal Aid will be advised.  The Registrar will record that determination as a Pre-Ballot exclusion and make the notation in the Court Registry System as “Held not to be appropriate”.</w:t>
      </w:r>
    </w:p>
    <w:p w:rsidR="00790B22" w:rsidRDefault="00790B22">
      <w:pPr>
        <w:tabs>
          <w:tab w:val="left" w:pos="1418"/>
        </w:tabs>
        <w:ind w:left="1418"/>
        <w:jc w:val="both"/>
      </w:pPr>
    </w:p>
    <w:p w:rsidR="00790B22" w:rsidRDefault="00790B22">
      <w:pPr>
        <w:tabs>
          <w:tab w:val="left" w:pos="1418"/>
        </w:tabs>
        <w:ind w:left="1418" w:hanging="709"/>
        <w:jc w:val="both"/>
      </w:pPr>
      <w:r>
        <w:rPr>
          <w:b/>
          <w:bCs/>
        </w:rPr>
        <w:t>2.16</w:t>
      </w:r>
      <w:r>
        <w:tab/>
        <w:t>The Judge may also decide that the referred person’s application to the Drug Court be deferred to a later ballot, so as to allow any necessary information regarding appropriateness to be obtained.</w:t>
      </w:r>
    </w:p>
    <w:p w:rsidR="00790B22" w:rsidRDefault="00790B22">
      <w:pPr>
        <w:tabs>
          <w:tab w:val="left" w:pos="1418"/>
        </w:tabs>
        <w:ind w:left="709"/>
        <w:jc w:val="both"/>
      </w:pPr>
    </w:p>
    <w:p w:rsidR="00790B22" w:rsidRDefault="00790B22">
      <w:pPr>
        <w:tabs>
          <w:tab w:val="left" w:pos="1418"/>
        </w:tabs>
        <w:ind w:left="1418" w:hanging="709"/>
        <w:jc w:val="both"/>
      </w:pPr>
      <w:r>
        <w:rPr>
          <w:b/>
          <w:bCs/>
        </w:rPr>
        <w:t>2.17</w:t>
      </w:r>
      <w:r>
        <w:tab/>
        <w:t>If it is later found that a referred person has been incorrectly excluded from the ballot, then the judge may determine that the offender (if still unsentenced) be included in a subsequent ballot.</w:t>
      </w:r>
    </w:p>
    <w:p w:rsidR="00790B22" w:rsidRDefault="00790B22">
      <w:pPr>
        <w:tabs>
          <w:tab w:val="left" w:pos="1418"/>
        </w:tabs>
        <w:jc w:val="both"/>
      </w:pPr>
      <w:r>
        <w:br w:type="page"/>
      </w:r>
    </w:p>
    <w:p w:rsidR="00790B22" w:rsidRDefault="00790B22">
      <w:pPr>
        <w:tabs>
          <w:tab w:val="left" w:pos="1418"/>
        </w:tabs>
        <w:jc w:val="both"/>
        <w:rPr>
          <w:b/>
          <w:bCs/>
        </w:rPr>
      </w:pPr>
      <w:r>
        <w:rPr>
          <w:b/>
          <w:bCs/>
        </w:rPr>
        <w:tab/>
        <w:t>Post-ballot:</w:t>
      </w:r>
    </w:p>
    <w:p w:rsidR="00790B22" w:rsidRDefault="00790B22">
      <w:pPr>
        <w:tabs>
          <w:tab w:val="left" w:pos="1418"/>
        </w:tabs>
        <w:jc w:val="both"/>
      </w:pPr>
    </w:p>
    <w:p w:rsidR="00790B22" w:rsidRDefault="00790B22">
      <w:pPr>
        <w:tabs>
          <w:tab w:val="left" w:pos="1418"/>
        </w:tabs>
        <w:ind w:left="2138" w:hanging="1418"/>
        <w:jc w:val="both"/>
      </w:pPr>
      <w:r>
        <w:rPr>
          <w:b/>
          <w:bCs/>
        </w:rPr>
        <w:t>2.18</w:t>
      </w:r>
      <w:r>
        <w:tab/>
        <w:t>Every applicant who is successful in the ballot will be assessed by a solicitor for the ODPP as to whether he or she is an “appropriate” person for a Drug Court program.</w:t>
      </w:r>
    </w:p>
    <w:p w:rsidR="00790B22" w:rsidRDefault="00790B22">
      <w:pPr>
        <w:tabs>
          <w:tab w:val="left" w:pos="1418"/>
        </w:tabs>
        <w:jc w:val="both"/>
      </w:pPr>
    </w:p>
    <w:p w:rsidR="00790B22" w:rsidRDefault="00790B22">
      <w:pPr>
        <w:tabs>
          <w:tab w:val="left" w:pos="1418"/>
        </w:tabs>
        <w:ind w:left="1418" w:hanging="698"/>
        <w:jc w:val="both"/>
      </w:pPr>
      <w:r>
        <w:rPr>
          <w:b/>
          <w:bCs/>
        </w:rPr>
        <w:t>2.19</w:t>
      </w:r>
      <w:r>
        <w:tab/>
        <w:t>In respect of each applicant, the solicitor for the ODPP may submit that the applicant is;</w:t>
      </w:r>
    </w:p>
    <w:p w:rsidR="00790B22" w:rsidRDefault="00790B22">
      <w:pPr>
        <w:numPr>
          <w:ilvl w:val="0"/>
          <w:numId w:val="12"/>
        </w:numPr>
        <w:tabs>
          <w:tab w:val="clear" w:pos="1058"/>
          <w:tab w:val="num" w:pos="1440"/>
        </w:tabs>
        <w:ind w:left="1778"/>
        <w:jc w:val="both"/>
      </w:pPr>
      <w:r>
        <w:t>an “appropriate” person,</w:t>
      </w:r>
    </w:p>
    <w:p w:rsidR="00790B22" w:rsidRDefault="00790B22">
      <w:pPr>
        <w:numPr>
          <w:ilvl w:val="0"/>
          <w:numId w:val="12"/>
        </w:numPr>
        <w:tabs>
          <w:tab w:val="clear" w:pos="1058"/>
          <w:tab w:val="num" w:pos="1440"/>
        </w:tabs>
        <w:ind w:left="1778"/>
        <w:jc w:val="both"/>
      </w:pPr>
      <w:r>
        <w:t>not an “appropriate” person, or,</w:t>
      </w:r>
    </w:p>
    <w:p w:rsidR="00790B22" w:rsidRDefault="00790B22">
      <w:pPr>
        <w:numPr>
          <w:ilvl w:val="0"/>
          <w:numId w:val="12"/>
        </w:numPr>
        <w:tabs>
          <w:tab w:val="clear" w:pos="1058"/>
          <w:tab w:val="num" w:pos="1440"/>
        </w:tabs>
        <w:ind w:left="1778"/>
        <w:jc w:val="both"/>
      </w:pPr>
      <w:r>
        <w:t>a person who may or may not be “appropriate”, and requests that the court determine that issue.</w:t>
      </w:r>
    </w:p>
    <w:p w:rsidR="00790B22" w:rsidRDefault="00790B22">
      <w:pPr>
        <w:tabs>
          <w:tab w:val="left" w:pos="1418"/>
        </w:tabs>
        <w:ind w:left="2160"/>
        <w:jc w:val="both"/>
      </w:pPr>
    </w:p>
    <w:p w:rsidR="00790B22" w:rsidRDefault="00790B22">
      <w:pPr>
        <w:pStyle w:val="BodyText"/>
        <w:ind w:left="1418" w:hanging="676"/>
      </w:pPr>
      <w:r>
        <w:rPr>
          <w:b/>
          <w:bCs/>
        </w:rPr>
        <w:t>2.20</w:t>
      </w:r>
      <w:r>
        <w:rPr>
          <w:b/>
          <w:bCs/>
        </w:rPr>
        <w:tab/>
      </w:r>
      <w:r w:rsidR="009A7C91" w:rsidRPr="009A7C91">
        <w:rPr>
          <w:bCs/>
        </w:rPr>
        <w:t>T</w:t>
      </w:r>
      <w:r>
        <w:t>he Court will make a determination as to “appropriateness”.  That decision may be made either immediately or on a later date.</w:t>
      </w:r>
    </w:p>
    <w:p w:rsidR="00790B22" w:rsidRDefault="00790B22">
      <w:pPr>
        <w:tabs>
          <w:tab w:val="left" w:pos="1418"/>
        </w:tabs>
        <w:jc w:val="both"/>
      </w:pPr>
    </w:p>
    <w:p w:rsidR="00790B22" w:rsidRDefault="00790B22">
      <w:pPr>
        <w:tabs>
          <w:tab w:val="left" w:pos="1418"/>
        </w:tabs>
        <w:ind w:left="720"/>
        <w:jc w:val="both"/>
      </w:pPr>
      <w:r>
        <w:rPr>
          <w:b/>
          <w:bCs/>
        </w:rPr>
        <w:t>2.21</w:t>
      </w:r>
      <w:r>
        <w:tab/>
        <w:t>The Court may find that;</w:t>
      </w:r>
    </w:p>
    <w:p w:rsidR="00790B22" w:rsidRDefault="00790B22">
      <w:pPr>
        <w:numPr>
          <w:ilvl w:val="0"/>
          <w:numId w:val="14"/>
        </w:numPr>
        <w:tabs>
          <w:tab w:val="left" w:pos="1418"/>
        </w:tabs>
        <w:jc w:val="both"/>
      </w:pPr>
      <w:r>
        <w:t>on the information available,  the person is appropriate for a Drug Court program.</w:t>
      </w:r>
    </w:p>
    <w:p w:rsidR="00790B22" w:rsidRDefault="00790B22">
      <w:pPr>
        <w:numPr>
          <w:ilvl w:val="0"/>
          <w:numId w:val="14"/>
        </w:numPr>
        <w:tabs>
          <w:tab w:val="left" w:pos="1418"/>
        </w:tabs>
        <w:jc w:val="both"/>
      </w:pPr>
      <w:r>
        <w:t>on the information available, the person is not appropriate for a Drug Court program.</w:t>
      </w:r>
    </w:p>
    <w:p w:rsidR="00790B22" w:rsidRDefault="00790B22">
      <w:pPr>
        <w:numPr>
          <w:ilvl w:val="0"/>
          <w:numId w:val="14"/>
        </w:numPr>
        <w:tabs>
          <w:tab w:val="left" w:pos="1418"/>
        </w:tabs>
        <w:jc w:val="both"/>
      </w:pPr>
      <w:r>
        <w:t>the person is an appropriate person, but only if additional special conditions are added to his or her program plan.</w:t>
      </w:r>
    </w:p>
    <w:p w:rsidR="00790B22" w:rsidRDefault="00790B22">
      <w:pPr>
        <w:numPr>
          <w:ilvl w:val="0"/>
          <w:numId w:val="14"/>
        </w:numPr>
        <w:tabs>
          <w:tab w:val="left" w:pos="1418"/>
        </w:tabs>
        <w:jc w:val="both"/>
      </w:pPr>
      <w:r>
        <w:t>a hearing is to be held to determine appropriateness.  If a hearing is required, the Court will hear submissions and determine whether the Court would be assisted by the preparation of a psychiatric report.</w:t>
      </w:r>
    </w:p>
    <w:p w:rsidR="00790B22" w:rsidRPr="005C66AA" w:rsidRDefault="00790B22">
      <w:pPr>
        <w:tabs>
          <w:tab w:val="left" w:pos="1418"/>
        </w:tabs>
        <w:jc w:val="both"/>
      </w:pPr>
    </w:p>
    <w:p w:rsidR="00790B22" w:rsidRPr="005C66AA" w:rsidRDefault="00790B22">
      <w:pPr>
        <w:pStyle w:val="Heading1"/>
        <w:tabs>
          <w:tab w:val="left" w:pos="360"/>
          <w:tab w:val="left" w:pos="1134"/>
          <w:tab w:val="left" w:pos="1843"/>
        </w:tabs>
        <w:jc w:val="both"/>
        <w:rPr>
          <w:i/>
          <w:iCs/>
          <w:sz w:val="24"/>
        </w:rPr>
      </w:pPr>
      <w:r w:rsidRPr="005C66AA">
        <w:rPr>
          <w:i/>
          <w:iCs/>
          <w:sz w:val="24"/>
        </w:rPr>
        <w:t>3</w:t>
      </w:r>
      <w:r w:rsidRPr="005C66AA">
        <w:rPr>
          <w:i/>
          <w:iCs/>
          <w:sz w:val="24"/>
        </w:rPr>
        <w:tab/>
        <w:t>Aboriginal or Torres Strait Islander referrals</w:t>
      </w:r>
    </w:p>
    <w:p w:rsidR="00790B22" w:rsidRPr="005C66AA" w:rsidRDefault="00790B22">
      <w:pPr>
        <w:jc w:val="both"/>
      </w:pPr>
    </w:p>
    <w:p w:rsidR="00790B22" w:rsidRPr="005C66AA" w:rsidRDefault="00790B22">
      <w:pPr>
        <w:ind w:left="1440" w:hanging="720"/>
        <w:jc w:val="both"/>
      </w:pPr>
      <w:r w:rsidRPr="005C66AA">
        <w:rPr>
          <w:b/>
          <w:bCs/>
        </w:rPr>
        <w:t>3.1</w:t>
      </w:r>
      <w:r w:rsidRPr="005C66AA">
        <w:rPr>
          <w:b/>
          <w:bCs/>
        </w:rPr>
        <w:tab/>
      </w:r>
      <w:r w:rsidRPr="005C66AA">
        <w:t xml:space="preserve">The Drug Court acknowledges the overrepresentation of Aboriginal persons in the criminal justice system, and the proven need to improve access to such programs as the Drug Court program for Aboriginal or Torres Strait Islander (“ATSI”) identifying offenders.  The recognition and addressing of special needs is </w:t>
      </w:r>
      <w:r w:rsidRPr="005C66AA">
        <w:rPr>
          <w:rFonts w:ascii="Times New (W1)" w:hAnsi="Times New (W1)"/>
        </w:rPr>
        <w:t>specifically</w:t>
      </w:r>
      <w:r w:rsidRPr="005C66AA">
        <w:t xml:space="preserve"> authorised by section 21 of the </w:t>
      </w:r>
      <w:r w:rsidRPr="005C66AA">
        <w:rPr>
          <w:i/>
          <w:iCs/>
        </w:rPr>
        <w:t>Anti Discrimination Act 1977.</w:t>
      </w:r>
    </w:p>
    <w:p w:rsidR="00790B22" w:rsidRPr="005C66AA" w:rsidRDefault="00790B22">
      <w:pPr>
        <w:ind w:left="720"/>
        <w:jc w:val="both"/>
      </w:pPr>
    </w:p>
    <w:p w:rsidR="00790B22" w:rsidRPr="005C66AA" w:rsidRDefault="00790B22">
      <w:pPr>
        <w:ind w:left="1440" w:hanging="720"/>
        <w:jc w:val="both"/>
      </w:pPr>
      <w:r w:rsidRPr="005C66AA">
        <w:rPr>
          <w:b/>
          <w:bCs/>
        </w:rPr>
        <w:t>3.2</w:t>
      </w:r>
      <w:r w:rsidRPr="005C66AA">
        <w:rPr>
          <w:b/>
          <w:bCs/>
        </w:rPr>
        <w:tab/>
      </w:r>
      <w:r w:rsidRPr="005C66AA">
        <w:t xml:space="preserve">To increase the opportunity for ATSI identifying offenders to take part in a Drug </w:t>
      </w:r>
      <w:r w:rsidR="0004426B" w:rsidRPr="005C66AA">
        <w:t>C</w:t>
      </w:r>
      <w:r w:rsidRPr="005C66AA">
        <w:t xml:space="preserve">ourt program, the Registrar and the Drug Court team will have regard to the number of ATSI identifying applicants when determining the number of program places available.  The number of available places will be increased by one place in each gender for which there are ATSI identifying offenders. </w:t>
      </w:r>
    </w:p>
    <w:p w:rsidR="00790B22" w:rsidRPr="005C66AA" w:rsidRDefault="00790B22">
      <w:pPr>
        <w:ind w:left="720"/>
        <w:jc w:val="both"/>
      </w:pPr>
    </w:p>
    <w:p w:rsidR="00790B22" w:rsidRPr="005C66AA" w:rsidRDefault="00790B22">
      <w:pPr>
        <w:ind w:left="1440" w:hanging="720"/>
        <w:jc w:val="both"/>
      </w:pPr>
      <w:r w:rsidRPr="005C66AA">
        <w:rPr>
          <w:b/>
          <w:bCs/>
        </w:rPr>
        <w:t>3.3</w:t>
      </w:r>
      <w:r w:rsidRPr="005C66AA">
        <w:rPr>
          <w:b/>
          <w:bCs/>
        </w:rPr>
        <w:tab/>
      </w:r>
      <w:r w:rsidRPr="005C66AA">
        <w:t>The computer generated random selection will then allocate places.  That selection will allocate a minimum of one place to an ATSI identifying offender in each gender for which there are ATSI identifying offenders.</w:t>
      </w:r>
    </w:p>
    <w:p w:rsidR="00790B22" w:rsidRDefault="009A7C91">
      <w:pPr>
        <w:tabs>
          <w:tab w:val="left" w:pos="0"/>
          <w:tab w:val="left" w:pos="1800"/>
          <w:tab w:val="left" w:pos="2160"/>
        </w:tabs>
        <w:jc w:val="both"/>
      </w:pPr>
      <w:r>
        <w:br w:type="page"/>
      </w:r>
    </w:p>
    <w:p w:rsidR="00790B22" w:rsidRDefault="00790B22">
      <w:pPr>
        <w:pStyle w:val="Heading1"/>
        <w:tabs>
          <w:tab w:val="left" w:pos="360"/>
        </w:tabs>
        <w:jc w:val="both"/>
        <w:rPr>
          <w:i/>
          <w:iCs/>
          <w:sz w:val="24"/>
        </w:rPr>
      </w:pPr>
      <w:r>
        <w:rPr>
          <w:i/>
          <w:iCs/>
          <w:sz w:val="24"/>
        </w:rPr>
        <w:t>4</w:t>
      </w:r>
      <w:r>
        <w:rPr>
          <w:i/>
          <w:iCs/>
          <w:sz w:val="24"/>
        </w:rPr>
        <w:tab/>
        <w:t>Applicants who are selected</w:t>
      </w:r>
    </w:p>
    <w:p w:rsidR="00790B22" w:rsidRDefault="00790B22">
      <w:pPr>
        <w:pStyle w:val="Header"/>
        <w:tabs>
          <w:tab w:val="clear" w:pos="4153"/>
          <w:tab w:val="clear" w:pos="8306"/>
        </w:tabs>
        <w:jc w:val="both"/>
      </w:pPr>
    </w:p>
    <w:p w:rsidR="00790B22" w:rsidRDefault="00790B22">
      <w:pPr>
        <w:ind w:left="1440" w:hanging="731"/>
        <w:jc w:val="both"/>
      </w:pPr>
      <w:r>
        <w:rPr>
          <w:b/>
          <w:bCs/>
        </w:rPr>
        <w:t>4.1</w:t>
      </w:r>
      <w:r>
        <w:tab/>
        <w:t xml:space="preserve">The Registrar will notify the referring Court if an applicant has been accepted, and request that Court to remand the applicant to the Drug Court on a specified date within the next </w:t>
      </w:r>
      <w:r w:rsidR="009A7C91">
        <w:t>fortnight</w:t>
      </w:r>
      <w:r>
        <w:t>.</w:t>
      </w:r>
    </w:p>
    <w:p w:rsidR="00790B22" w:rsidRDefault="00790B22">
      <w:pPr>
        <w:pStyle w:val="Header"/>
        <w:tabs>
          <w:tab w:val="clear" w:pos="4153"/>
          <w:tab w:val="clear" w:pos="8306"/>
        </w:tabs>
      </w:pPr>
    </w:p>
    <w:p w:rsidR="00790B22" w:rsidRDefault="00790B22">
      <w:pPr>
        <w:pStyle w:val="Heading1"/>
        <w:tabs>
          <w:tab w:val="left" w:pos="360"/>
        </w:tabs>
        <w:rPr>
          <w:i/>
          <w:iCs/>
          <w:sz w:val="24"/>
        </w:rPr>
      </w:pPr>
      <w:r>
        <w:rPr>
          <w:i/>
          <w:iCs/>
          <w:sz w:val="24"/>
        </w:rPr>
        <w:t>5</w:t>
      </w:r>
      <w:r>
        <w:rPr>
          <w:i/>
          <w:iCs/>
          <w:sz w:val="24"/>
        </w:rPr>
        <w:tab/>
        <w:t>Applicants who are not selected</w:t>
      </w:r>
    </w:p>
    <w:p w:rsidR="00790B22" w:rsidRDefault="00790B22"/>
    <w:p w:rsidR="00790B22" w:rsidRDefault="00790B22">
      <w:pPr>
        <w:ind w:left="1440" w:hanging="731"/>
        <w:jc w:val="both"/>
      </w:pPr>
      <w:r>
        <w:rPr>
          <w:b/>
          <w:bCs/>
        </w:rPr>
        <w:t>5.1</w:t>
      </w:r>
      <w:r>
        <w:rPr>
          <w:b/>
          <w:bCs/>
        </w:rPr>
        <w:tab/>
      </w:r>
      <w:r>
        <w:t xml:space="preserve">The Drug Court will not accept an applicant who is not selected in accordance with clause </w:t>
      </w:r>
      <w:r>
        <w:rPr>
          <w:bCs/>
        </w:rPr>
        <w:t>2 or 3</w:t>
      </w:r>
      <w:r>
        <w:t>.</w:t>
      </w:r>
    </w:p>
    <w:p w:rsidR="00790B22" w:rsidRDefault="00790B22">
      <w:pPr>
        <w:pStyle w:val="BodyTextIndent3"/>
        <w:tabs>
          <w:tab w:val="clear" w:pos="1276"/>
          <w:tab w:val="left" w:pos="1418"/>
        </w:tabs>
        <w:ind w:left="1418" w:hanging="709"/>
      </w:pPr>
      <w:r>
        <w:rPr>
          <w:b/>
          <w:bCs/>
        </w:rPr>
        <w:t>5.2</w:t>
      </w:r>
      <w:r>
        <w:tab/>
        <w:t>The Registrar will notify the referring Court if an applicant has been unsuccessful in a ballot, or if the applicant’s referral has been deferred.</w:t>
      </w:r>
    </w:p>
    <w:p w:rsidR="00790B22" w:rsidRDefault="00790B22">
      <w:pPr>
        <w:pStyle w:val="BodyTextIndent3"/>
        <w:tabs>
          <w:tab w:val="clear" w:pos="1276"/>
        </w:tabs>
        <w:ind w:left="1440" w:hanging="731"/>
      </w:pPr>
      <w:r>
        <w:rPr>
          <w:b/>
          <w:bCs/>
        </w:rPr>
        <w:t>5.3</w:t>
      </w:r>
      <w:r>
        <w:tab/>
        <w:t>An applicant who was not selected in a ballot will not be placed in a subsequent ballot unless the applicant is referred to the Drug Court in respect of an offence other than one related to the unsuccessful ballot.</w:t>
      </w:r>
    </w:p>
    <w:p w:rsidR="00790B22" w:rsidRDefault="00790B22">
      <w:pPr>
        <w:pStyle w:val="Heading1"/>
        <w:tabs>
          <w:tab w:val="left" w:pos="360"/>
        </w:tabs>
        <w:rPr>
          <w:i/>
          <w:iCs/>
          <w:sz w:val="24"/>
        </w:rPr>
      </w:pPr>
      <w:r>
        <w:rPr>
          <w:i/>
          <w:iCs/>
          <w:sz w:val="24"/>
        </w:rPr>
        <w:t>6</w:t>
      </w:r>
      <w:r>
        <w:rPr>
          <w:i/>
          <w:iCs/>
          <w:sz w:val="24"/>
        </w:rPr>
        <w:tab/>
        <w:t>Previous participants</w:t>
      </w:r>
    </w:p>
    <w:p w:rsidR="00790B22" w:rsidRDefault="00790B22"/>
    <w:p w:rsidR="00790B22" w:rsidRDefault="00790B22">
      <w:pPr>
        <w:ind w:left="1440" w:hanging="720"/>
      </w:pPr>
      <w:r>
        <w:rPr>
          <w:b/>
          <w:bCs/>
        </w:rPr>
        <w:t>6.1</w:t>
      </w:r>
      <w:r>
        <w:tab/>
        <w:t>The Drug Court acknowledges that a drug-addicted person may need many episodes of treatment to achieve long-term recovery.</w:t>
      </w:r>
    </w:p>
    <w:p w:rsidR="00790B22" w:rsidRDefault="00790B22"/>
    <w:p w:rsidR="00790B22" w:rsidRDefault="00790B22">
      <w:pPr>
        <w:ind w:left="1440" w:hanging="720"/>
        <w:jc w:val="both"/>
      </w:pPr>
      <w:r>
        <w:rPr>
          <w:b/>
          <w:bCs/>
        </w:rPr>
        <w:t>6.2</w:t>
      </w:r>
      <w:r>
        <w:tab/>
        <w:t>As the resources of the Drug Court are limited, preference will be given to applicants who have not been Drug Court participants previously.</w:t>
      </w:r>
    </w:p>
    <w:p w:rsidR="00790B22" w:rsidRDefault="00790B22"/>
    <w:p w:rsidR="00790B22" w:rsidRDefault="00790B22">
      <w:pPr>
        <w:ind w:left="1440" w:hanging="720"/>
        <w:jc w:val="both"/>
      </w:pPr>
      <w:r>
        <w:rPr>
          <w:b/>
        </w:rPr>
        <w:t>6.3</w:t>
      </w:r>
      <w:r>
        <w:rPr>
          <w:bCs/>
        </w:rPr>
        <w:tab/>
        <w:t xml:space="preserve">An applicant who has previously been a Drug Court participant is not an appropriate person for a Drug Court program if it is </w:t>
      </w:r>
      <w:r>
        <w:rPr>
          <w:b/>
        </w:rPr>
        <w:t>less than three years</w:t>
      </w:r>
      <w:r>
        <w:t xml:space="preserve"> since final sentence was imposed in relation to the participant’s last Drug Court program, or if it is </w:t>
      </w:r>
      <w:r>
        <w:rPr>
          <w:b/>
          <w:bCs/>
        </w:rPr>
        <w:t>less than three years</w:t>
      </w:r>
      <w:r>
        <w:t xml:space="preserve"> since the completion of the non-parole period of any final sentence that was imposed (not suspended), whichever is the later.</w:t>
      </w:r>
    </w:p>
    <w:p w:rsidR="00790B22" w:rsidRDefault="00790B22">
      <w:pPr>
        <w:jc w:val="both"/>
      </w:pPr>
    </w:p>
    <w:p w:rsidR="00790B22" w:rsidRPr="005C66AA" w:rsidRDefault="00790B22">
      <w:pPr>
        <w:ind w:left="1440" w:hanging="720"/>
        <w:jc w:val="both"/>
      </w:pPr>
      <w:r>
        <w:rPr>
          <w:b/>
          <w:bCs/>
        </w:rPr>
        <w:t>6.4</w:t>
      </w:r>
      <w:r>
        <w:tab/>
      </w:r>
      <w:r w:rsidR="009454B9" w:rsidRPr="00C425CD">
        <w:t>Subject to paragraph 6.5 below,</w:t>
      </w:r>
      <w:r w:rsidR="009454B9">
        <w:t xml:space="preserve"> i</w:t>
      </w:r>
      <w:r>
        <w:t xml:space="preserve">f the number of referred applicants exceeds the number of available places for the ballot, the judge may decide to exclude from the ballot any or all applicants who have previously had the opportunity of a Drug Court </w:t>
      </w:r>
      <w:r w:rsidRPr="005C66AA">
        <w:t>program, or a Compulsory Drug Treatment Order.</w:t>
      </w:r>
    </w:p>
    <w:p w:rsidR="0004426B" w:rsidRPr="005C66AA" w:rsidRDefault="0004426B">
      <w:pPr>
        <w:ind w:left="1440" w:hanging="720"/>
        <w:jc w:val="both"/>
      </w:pPr>
    </w:p>
    <w:p w:rsidR="0004426B" w:rsidRPr="005C66AA" w:rsidRDefault="0004426B">
      <w:pPr>
        <w:ind w:left="1440" w:hanging="720"/>
        <w:jc w:val="both"/>
      </w:pPr>
      <w:r w:rsidRPr="005C66AA">
        <w:rPr>
          <w:b/>
        </w:rPr>
        <w:t>6.5</w:t>
      </w:r>
      <w:r w:rsidRPr="005C66AA">
        <w:tab/>
        <w:t>To increase the opportunity for ATSI identifying offenders to take part in a Drug Court program, a previous participant who identifies as an ATSI person may be included in the ballot, despite having previously had the opportunity of a Drug Court program or a Compulsory Drug Treatment Order.</w:t>
      </w:r>
    </w:p>
    <w:p w:rsidR="00790B22" w:rsidRPr="005C66AA" w:rsidRDefault="00790B22">
      <w:pPr>
        <w:ind w:left="1440" w:hanging="720"/>
        <w:jc w:val="both"/>
      </w:pPr>
    </w:p>
    <w:p w:rsidR="00790B22" w:rsidRDefault="00790B22">
      <w:pPr>
        <w:pStyle w:val="Heading3"/>
        <w:rPr>
          <w:i/>
          <w:iCs/>
        </w:rPr>
      </w:pPr>
      <w:r>
        <w:rPr>
          <w:i/>
          <w:iCs/>
        </w:rPr>
        <w:t>7</w:t>
      </w:r>
      <w:r>
        <w:rPr>
          <w:i/>
          <w:iCs/>
        </w:rPr>
        <w:tab/>
        <w:t>Previously refused applicants</w:t>
      </w:r>
    </w:p>
    <w:p w:rsidR="00790B22" w:rsidRDefault="00790B22">
      <w:pPr>
        <w:tabs>
          <w:tab w:val="left" w:pos="0"/>
          <w:tab w:val="left" w:pos="426"/>
          <w:tab w:val="left" w:pos="1800"/>
          <w:tab w:val="left" w:pos="2160"/>
        </w:tabs>
        <w:rPr>
          <w:rFonts w:ascii="Arial (W1)" w:hAnsi="Arial (W1)"/>
          <w:b/>
        </w:rPr>
      </w:pPr>
    </w:p>
    <w:p w:rsidR="00790B22" w:rsidRDefault="00790B22">
      <w:pPr>
        <w:tabs>
          <w:tab w:val="left" w:pos="0"/>
          <w:tab w:val="left" w:pos="709"/>
        </w:tabs>
        <w:ind w:left="1440" w:hanging="731"/>
        <w:jc w:val="both"/>
        <w:rPr>
          <w:bCs/>
        </w:rPr>
      </w:pPr>
      <w:r>
        <w:rPr>
          <w:b/>
        </w:rPr>
        <w:t>7.1</w:t>
      </w:r>
      <w:r>
        <w:rPr>
          <w:bCs/>
        </w:rPr>
        <w:tab/>
        <w:t>To take part in a Drug Court program, the Drug Court must be satisfied that, having regard to the person’s antecedents, it would be appropriate for the person to participate in a Drug Court program</w:t>
      </w:r>
      <w:r>
        <w:rPr>
          <w:rStyle w:val="EndnoteReference"/>
          <w:bCs/>
        </w:rPr>
        <w:endnoteReference w:id="4"/>
      </w:r>
      <w:r>
        <w:rPr>
          <w:bCs/>
        </w:rPr>
        <w:t>.</w:t>
      </w:r>
    </w:p>
    <w:p w:rsidR="00790B22" w:rsidRDefault="00790B22">
      <w:pPr>
        <w:tabs>
          <w:tab w:val="left" w:pos="0"/>
          <w:tab w:val="left" w:pos="709"/>
        </w:tabs>
        <w:ind w:left="1440" w:hanging="731"/>
        <w:jc w:val="both"/>
        <w:rPr>
          <w:bCs/>
        </w:rPr>
      </w:pPr>
      <w:r>
        <w:rPr>
          <w:b/>
        </w:rPr>
        <w:t>7.2</w:t>
      </w:r>
      <w:r>
        <w:rPr>
          <w:bCs/>
        </w:rPr>
        <w:tab/>
        <w:t>From time to time the Drug Court conducts hearings and makes determinations as to whether individuals are appropriate for a Drug Court Program.</w:t>
      </w:r>
    </w:p>
    <w:p w:rsidR="00790B22" w:rsidRDefault="00790B22">
      <w:pPr>
        <w:tabs>
          <w:tab w:val="left" w:pos="0"/>
          <w:tab w:val="left" w:pos="709"/>
        </w:tabs>
        <w:ind w:left="1440" w:hanging="731"/>
        <w:jc w:val="both"/>
        <w:rPr>
          <w:bCs/>
        </w:rPr>
      </w:pPr>
      <w:r>
        <w:rPr>
          <w:bCs/>
        </w:rPr>
        <w:br w:type="page"/>
      </w:r>
    </w:p>
    <w:p w:rsidR="00790B22" w:rsidRDefault="00790B22">
      <w:pPr>
        <w:numPr>
          <w:ilvl w:val="1"/>
          <w:numId w:val="25"/>
        </w:numPr>
        <w:tabs>
          <w:tab w:val="left" w:pos="0"/>
          <w:tab w:val="left" w:pos="709"/>
        </w:tabs>
        <w:jc w:val="both"/>
        <w:rPr>
          <w:bCs/>
        </w:rPr>
      </w:pPr>
      <w:r>
        <w:rPr>
          <w:bCs/>
        </w:rPr>
        <w:t xml:space="preserve">If an applicant referred to the Drug Court has, within </w:t>
      </w:r>
      <w:r>
        <w:rPr>
          <w:b/>
        </w:rPr>
        <w:t>two years</w:t>
      </w:r>
      <w:r>
        <w:rPr>
          <w:bCs/>
        </w:rPr>
        <w:t xml:space="preserve"> of the date of referral, been formally found to </w:t>
      </w:r>
      <w:r>
        <w:rPr>
          <w:b/>
        </w:rPr>
        <w:t>not</w:t>
      </w:r>
      <w:r>
        <w:rPr>
          <w:bCs/>
        </w:rPr>
        <w:t xml:space="preserve"> be an appropriate person under s 7A(2) [or the previous section, s 7(2)], the applicant is not an appropriate person for a Drug Court program, and the Registrar will notify the referring Court that the applicant has not been accepted.  The two year exclusion does not apply to applicants who have only been “held not to be appropriate” and excluded pre-ballot in accordance with clause 2.15 above.</w:t>
      </w:r>
    </w:p>
    <w:p w:rsidR="00790B22" w:rsidRDefault="00790B22">
      <w:pPr>
        <w:tabs>
          <w:tab w:val="left" w:pos="0"/>
          <w:tab w:val="left" w:pos="709"/>
        </w:tabs>
        <w:ind w:left="709"/>
        <w:jc w:val="both"/>
        <w:rPr>
          <w:sz w:val="28"/>
        </w:rPr>
      </w:pPr>
    </w:p>
    <w:p w:rsidR="00790B22" w:rsidRDefault="00790B22"/>
    <w:sectPr w:rsidR="00790B22">
      <w:footerReference w:type="default" r:id="rId11"/>
      <w:endnotePr>
        <w:numFmt w:val="decimal"/>
      </w:endnotePr>
      <w:pgSz w:w="11909" w:h="16834" w:code="9"/>
      <w:pgMar w:top="1440" w:right="1199" w:bottom="1440" w:left="9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1F" w:rsidRDefault="00631A1F">
      <w:r>
        <w:separator/>
      </w:r>
    </w:p>
  </w:endnote>
  <w:endnote w:type="continuationSeparator" w:id="0">
    <w:p w:rsidR="00631A1F" w:rsidRDefault="00631A1F">
      <w:r>
        <w:continuationSeparator/>
      </w:r>
    </w:p>
  </w:endnote>
  <w:endnote w:id="1">
    <w:p w:rsidR="00631A1F" w:rsidRDefault="00631A1F">
      <w:pPr>
        <w:pStyle w:val="EndnoteText"/>
      </w:pPr>
      <w:r>
        <w:rPr>
          <w:rStyle w:val="EndnoteReference"/>
        </w:rPr>
        <w:endnoteRef/>
      </w:r>
      <w:r>
        <w:t xml:space="preserve"> Section 6 Drug Court Act 1998</w:t>
      </w:r>
    </w:p>
  </w:endnote>
  <w:endnote w:id="2">
    <w:p w:rsidR="00631A1F" w:rsidRDefault="00631A1F">
      <w:pPr>
        <w:pStyle w:val="EndnoteText"/>
      </w:pPr>
      <w:r>
        <w:rPr>
          <w:rStyle w:val="EndnoteReference"/>
        </w:rPr>
        <w:endnoteRef/>
      </w:r>
      <w:r>
        <w:t xml:space="preserve"> Section 7A(2)(d) provides </w:t>
      </w:r>
      <w:r>
        <w:rPr>
          <w:rStyle w:val="block"/>
        </w:rPr>
        <w:t>that there must be “facilities to supervise and control the person’s participation in such a program” available before a person can be sentenced under the Act.</w:t>
      </w:r>
    </w:p>
  </w:endnote>
  <w:endnote w:id="3">
    <w:p w:rsidR="00631A1F" w:rsidRDefault="00631A1F">
      <w:pPr>
        <w:pStyle w:val="EndnoteText"/>
      </w:pPr>
      <w:r>
        <w:rPr>
          <w:rStyle w:val="EndnoteReference"/>
        </w:rPr>
        <w:endnoteRef/>
      </w:r>
      <w:r>
        <w:t xml:space="preserve"> Section 7A(2)(c) provides that the Drug Court may place a person on a Drug Court program if “…having regard to the person’s antecedents, it would be appropriate for the person to participate in a program”</w:t>
      </w:r>
    </w:p>
  </w:endnote>
  <w:endnote w:id="4">
    <w:p w:rsidR="00631A1F" w:rsidRDefault="00631A1F">
      <w:pPr>
        <w:pStyle w:val="EndnoteText"/>
      </w:pPr>
      <w:r>
        <w:rPr>
          <w:rStyle w:val="EndnoteReference"/>
        </w:rPr>
        <w:endnoteRef/>
      </w:r>
      <w:r>
        <w:t xml:space="preserve"> Section 7A(2)(c)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A1F" w:rsidRDefault="00631A1F">
    <w:pPr>
      <w:pStyle w:val="Footer"/>
      <w:jc w:val="center"/>
    </w:pPr>
    <w:r>
      <w:fldChar w:fldCharType="begin"/>
    </w:r>
    <w:r>
      <w:instrText xml:space="preserve"> PAGE   \* MERGEFORMAT </w:instrText>
    </w:r>
    <w:r>
      <w:fldChar w:fldCharType="separate"/>
    </w:r>
    <w:r w:rsidR="00126067">
      <w:rPr>
        <w:noProof/>
      </w:rPr>
      <w:t>1</w:t>
    </w:r>
    <w:r>
      <w:rPr>
        <w:noProof/>
      </w:rPr>
      <w:fldChar w:fldCharType="end"/>
    </w:r>
  </w:p>
  <w:p w:rsidR="00631A1F" w:rsidRDefault="00631A1F">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1F" w:rsidRDefault="00631A1F">
      <w:r>
        <w:separator/>
      </w:r>
    </w:p>
  </w:footnote>
  <w:footnote w:type="continuationSeparator" w:id="0">
    <w:p w:rsidR="00631A1F" w:rsidRDefault="00631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A6DE2C"/>
    <w:lvl w:ilvl="0">
      <w:numFmt w:val="decimal"/>
      <w:lvlText w:val="*"/>
      <w:lvlJc w:val="left"/>
    </w:lvl>
  </w:abstractNum>
  <w:abstractNum w:abstractNumId="1">
    <w:nsid w:val="08240476"/>
    <w:multiLevelType w:val="multilevel"/>
    <w:tmpl w:val="BB52C850"/>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
    <w:nsid w:val="093324F7"/>
    <w:multiLevelType w:val="multilevel"/>
    <w:tmpl w:val="8E40B760"/>
    <w:lvl w:ilvl="0">
      <w:start w:val="2"/>
      <w:numFmt w:val="decimal"/>
      <w:lvlText w:val="%1"/>
      <w:lvlJc w:val="left"/>
      <w:pPr>
        <w:tabs>
          <w:tab w:val="num" w:pos="720"/>
        </w:tabs>
        <w:ind w:left="720" w:hanging="720"/>
      </w:pPr>
      <w:rPr>
        <w:rFonts w:hint="default"/>
        <w:b/>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0A0168E6"/>
    <w:multiLevelType w:val="multilevel"/>
    <w:tmpl w:val="FE1C3866"/>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1437"/>
        </w:tabs>
        <w:ind w:left="1437" w:hanging="360"/>
      </w:pPr>
      <w:rPr>
        <w:rFonts w:hint="default"/>
        <w:b/>
      </w:rPr>
    </w:lvl>
    <w:lvl w:ilvl="2">
      <w:start w:val="1"/>
      <w:numFmt w:val="decimal"/>
      <w:lvlText w:val="%1.%2.%3"/>
      <w:lvlJc w:val="left"/>
      <w:pPr>
        <w:tabs>
          <w:tab w:val="num" w:pos="2874"/>
        </w:tabs>
        <w:ind w:left="2874" w:hanging="720"/>
      </w:pPr>
      <w:rPr>
        <w:rFonts w:hint="default"/>
        <w:b/>
      </w:rPr>
    </w:lvl>
    <w:lvl w:ilvl="3">
      <w:start w:val="1"/>
      <w:numFmt w:val="decimal"/>
      <w:lvlText w:val="%1.%2.%3.%4"/>
      <w:lvlJc w:val="left"/>
      <w:pPr>
        <w:tabs>
          <w:tab w:val="num" w:pos="3951"/>
        </w:tabs>
        <w:ind w:left="3951" w:hanging="720"/>
      </w:pPr>
      <w:rPr>
        <w:rFonts w:hint="default"/>
        <w:b/>
      </w:rPr>
    </w:lvl>
    <w:lvl w:ilvl="4">
      <w:start w:val="1"/>
      <w:numFmt w:val="decimal"/>
      <w:lvlText w:val="%1.%2.%3.%4.%5"/>
      <w:lvlJc w:val="left"/>
      <w:pPr>
        <w:tabs>
          <w:tab w:val="num" w:pos="5388"/>
        </w:tabs>
        <w:ind w:left="5388" w:hanging="1080"/>
      </w:pPr>
      <w:rPr>
        <w:rFonts w:hint="default"/>
        <w:b/>
      </w:rPr>
    </w:lvl>
    <w:lvl w:ilvl="5">
      <w:start w:val="1"/>
      <w:numFmt w:val="decimal"/>
      <w:lvlText w:val="%1.%2.%3.%4.%5.%6"/>
      <w:lvlJc w:val="left"/>
      <w:pPr>
        <w:tabs>
          <w:tab w:val="num" w:pos="6465"/>
        </w:tabs>
        <w:ind w:left="6465" w:hanging="1080"/>
      </w:pPr>
      <w:rPr>
        <w:rFonts w:hint="default"/>
        <w:b/>
      </w:rPr>
    </w:lvl>
    <w:lvl w:ilvl="6">
      <w:start w:val="1"/>
      <w:numFmt w:val="decimal"/>
      <w:lvlText w:val="%1.%2.%3.%4.%5.%6.%7"/>
      <w:lvlJc w:val="left"/>
      <w:pPr>
        <w:tabs>
          <w:tab w:val="num" w:pos="7902"/>
        </w:tabs>
        <w:ind w:left="7902" w:hanging="1440"/>
      </w:pPr>
      <w:rPr>
        <w:rFonts w:hint="default"/>
        <w:b/>
      </w:rPr>
    </w:lvl>
    <w:lvl w:ilvl="7">
      <w:start w:val="1"/>
      <w:numFmt w:val="decimal"/>
      <w:lvlText w:val="%1.%2.%3.%4.%5.%6.%7.%8"/>
      <w:lvlJc w:val="left"/>
      <w:pPr>
        <w:tabs>
          <w:tab w:val="num" w:pos="8979"/>
        </w:tabs>
        <w:ind w:left="8979" w:hanging="1440"/>
      </w:pPr>
      <w:rPr>
        <w:rFonts w:hint="default"/>
        <w:b/>
      </w:rPr>
    </w:lvl>
    <w:lvl w:ilvl="8">
      <w:start w:val="1"/>
      <w:numFmt w:val="decimal"/>
      <w:lvlText w:val="%1.%2.%3.%4.%5.%6.%7.%8.%9"/>
      <w:lvlJc w:val="left"/>
      <w:pPr>
        <w:tabs>
          <w:tab w:val="num" w:pos="10416"/>
        </w:tabs>
        <w:ind w:left="10416" w:hanging="1800"/>
      </w:pPr>
      <w:rPr>
        <w:rFonts w:hint="default"/>
        <w:b/>
      </w:rPr>
    </w:lvl>
  </w:abstractNum>
  <w:abstractNum w:abstractNumId="4">
    <w:nsid w:val="0C8F6B90"/>
    <w:multiLevelType w:val="multilevel"/>
    <w:tmpl w:val="62A23CC8"/>
    <w:lvl w:ilvl="0">
      <w:start w:val="2"/>
      <w:numFmt w:val="decimal"/>
      <w:lvlText w:val="%1"/>
      <w:lvlJc w:val="left"/>
      <w:pPr>
        <w:tabs>
          <w:tab w:val="num" w:pos="360"/>
        </w:tabs>
        <w:ind w:left="360" w:hanging="360"/>
      </w:pPr>
      <w:rPr>
        <w:rFonts w:hint="default"/>
        <w:b/>
      </w:rPr>
    </w:lvl>
    <w:lvl w:ilvl="1">
      <w:start w:val="1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nsid w:val="0E1D0EA3"/>
    <w:multiLevelType w:val="multilevel"/>
    <w:tmpl w:val="72B89734"/>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6">
    <w:nsid w:val="109D0BC3"/>
    <w:multiLevelType w:val="multilevel"/>
    <w:tmpl w:val="B78C1522"/>
    <w:lvl w:ilvl="0">
      <w:start w:val="2"/>
      <w:numFmt w:val="decimal"/>
      <w:lvlText w:val="%1"/>
      <w:lvlJc w:val="left"/>
      <w:pPr>
        <w:tabs>
          <w:tab w:val="num" w:pos="615"/>
        </w:tabs>
        <w:ind w:left="615" w:hanging="615"/>
      </w:pPr>
      <w:rPr>
        <w:rFonts w:hint="default"/>
        <w:b/>
      </w:rPr>
    </w:lvl>
    <w:lvl w:ilvl="1">
      <w:start w:val="2"/>
      <w:numFmt w:val="decimal"/>
      <w:lvlText w:val="%1.%2"/>
      <w:lvlJc w:val="left"/>
      <w:pPr>
        <w:tabs>
          <w:tab w:val="num" w:pos="1695"/>
        </w:tabs>
        <w:ind w:left="1695" w:hanging="615"/>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7">
    <w:nsid w:val="13DB683C"/>
    <w:multiLevelType w:val="multilevel"/>
    <w:tmpl w:val="0DAE3DA2"/>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8">
    <w:nsid w:val="16A745CA"/>
    <w:multiLevelType w:val="multilevel"/>
    <w:tmpl w:val="368E3314"/>
    <w:lvl w:ilvl="0">
      <w:start w:val="2"/>
      <w:numFmt w:val="decimal"/>
      <w:lvlText w:val="%1"/>
      <w:lvlJc w:val="left"/>
      <w:pPr>
        <w:tabs>
          <w:tab w:val="num" w:pos="360"/>
        </w:tabs>
        <w:ind w:left="360" w:hanging="360"/>
      </w:pPr>
      <w:rPr>
        <w:rFonts w:hint="default"/>
        <w:b/>
      </w:rPr>
    </w:lvl>
    <w:lvl w:ilvl="1">
      <w:start w:val="11"/>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9">
    <w:nsid w:val="1C4C459A"/>
    <w:multiLevelType w:val="hybridMultilevel"/>
    <w:tmpl w:val="F4CE1C5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48F41DF"/>
    <w:multiLevelType w:val="multilevel"/>
    <w:tmpl w:val="90ACADB4"/>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11">
    <w:nsid w:val="35D152EE"/>
    <w:multiLevelType w:val="multilevel"/>
    <w:tmpl w:val="7DA827AE"/>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12">
    <w:nsid w:val="41D70CB1"/>
    <w:multiLevelType w:val="multilevel"/>
    <w:tmpl w:val="0ACED22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46835963"/>
    <w:multiLevelType w:val="hybridMultilevel"/>
    <w:tmpl w:val="0D68C5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DCF3523"/>
    <w:multiLevelType w:val="hybridMultilevel"/>
    <w:tmpl w:val="628625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E7A6303"/>
    <w:multiLevelType w:val="multilevel"/>
    <w:tmpl w:val="7450B67A"/>
    <w:lvl w:ilvl="0">
      <w:start w:val="6"/>
      <w:numFmt w:val="decimal"/>
      <w:lvlText w:val="%1"/>
      <w:lvlJc w:val="left"/>
      <w:pPr>
        <w:tabs>
          <w:tab w:val="num" w:pos="720"/>
        </w:tabs>
        <w:ind w:left="720" w:hanging="720"/>
      </w:pPr>
      <w:rPr>
        <w:rFonts w:hint="default"/>
        <w:b/>
      </w:rPr>
    </w:lvl>
    <w:lvl w:ilvl="1">
      <w:start w:val="2"/>
      <w:numFmt w:val="decimal"/>
      <w:lvlText w:val="%1.%2"/>
      <w:lvlJc w:val="left"/>
      <w:pPr>
        <w:tabs>
          <w:tab w:val="num" w:pos="1797"/>
        </w:tabs>
        <w:ind w:left="1797" w:hanging="720"/>
      </w:pPr>
      <w:rPr>
        <w:rFonts w:hint="default"/>
        <w:b/>
      </w:rPr>
    </w:lvl>
    <w:lvl w:ilvl="2">
      <w:start w:val="1"/>
      <w:numFmt w:val="decimal"/>
      <w:lvlText w:val="%1.%2.%3"/>
      <w:lvlJc w:val="left"/>
      <w:pPr>
        <w:tabs>
          <w:tab w:val="num" w:pos="2874"/>
        </w:tabs>
        <w:ind w:left="2874" w:hanging="720"/>
      </w:pPr>
      <w:rPr>
        <w:rFonts w:hint="default"/>
        <w:b/>
      </w:rPr>
    </w:lvl>
    <w:lvl w:ilvl="3">
      <w:start w:val="1"/>
      <w:numFmt w:val="decimal"/>
      <w:lvlText w:val="%1.%2.%3.%4"/>
      <w:lvlJc w:val="left"/>
      <w:pPr>
        <w:tabs>
          <w:tab w:val="num" w:pos="3951"/>
        </w:tabs>
        <w:ind w:left="3951" w:hanging="720"/>
      </w:pPr>
      <w:rPr>
        <w:rFonts w:hint="default"/>
        <w:b/>
      </w:rPr>
    </w:lvl>
    <w:lvl w:ilvl="4">
      <w:start w:val="1"/>
      <w:numFmt w:val="decimal"/>
      <w:lvlText w:val="%1.%2.%3.%4.%5"/>
      <w:lvlJc w:val="left"/>
      <w:pPr>
        <w:tabs>
          <w:tab w:val="num" w:pos="5388"/>
        </w:tabs>
        <w:ind w:left="5388" w:hanging="1080"/>
      </w:pPr>
      <w:rPr>
        <w:rFonts w:hint="default"/>
        <w:b/>
      </w:rPr>
    </w:lvl>
    <w:lvl w:ilvl="5">
      <w:start w:val="1"/>
      <w:numFmt w:val="decimal"/>
      <w:lvlText w:val="%1.%2.%3.%4.%5.%6"/>
      <w:lvlJc w:val="left"/>
      <w:pPr>
        <w:tabs>
          <w:tab w:val="num" w:pos="6465"/>
        </w:tabs>
        <w:ind w:left="6465" w:hanging="1080"/>
      </w:pPr>
      <w:rPr>
        <w:rFonts w:hint="default"/>
        <w:b/>
      </w:rPr>
    </w:lvl>
    <w:lvl w:ilvl="6">
      <w:start w:val="1"/>
      <w:numFmt w:val="decimal"/>
      <w:lvlText w:val="%1.%2.%3.%4.%5.%6.%7"/>
      <w:lvlJc w:val="left"/>
      <w:pPr>
        <w:tabs>
          <w:tab w:val="num" w:pos="7902"/>
        </w:tabs>
        <w:ind w:left="7902" w:hanging="1440"/>
      </w:pPr>
      <w:rPr>
        <w:rFonts w:hint="default"/>
        <w:b/>
      </w:rPr>
    </w:lvl>
    <w:lvl w:ilvl="7">
      <w:start w:val="1"/>
      <w:numFmt w:val="decimal"/>
      <w:lvlText w:val="%1.%2.%3.%4.%5.%6.%7.%8"/>
      <w:lvlJc w:val="left"/>
      <w:pPr>
        <w:tabs>
          <w:tab w:val="num" w:pos="8979"/>
        </w:tabs>
        <w:ind w:left="8979" w:hanging="1440"/>
      </w:pPr>
      <w:rPr>
        <w:rFonts w:hint="default"/>
        <w:b/>
      </w:rPr>
    </w:lvl>
    <w:lvl w:ilvl="8">
      <w:start w:val="1"/>
      <w:numFmt w:val="decimal"/>
      <w:lvlText w:val="%1.%2.%3.%4.%5.%6.%7.%8.%9"/>
      <w:lvlJc w:val="left"/>
      <w:pPr>
        <w:tabs>
          <w:tab w:val="num" w:pos="10416"/>
        </w:tabs>
        <w:ind w:left="10416" w:hanging="1800"/>
      </w:pPr>
      <w:rPr>
        <w:rFonts w:hint="default"/>
        <w:b/>
      </w:rPr>
    </w:lvl>
  </w:abstractNum>
  <w:abstractNum w:abstractNumId="16">
    <w:nsid w:val="5E0C4EA2"/>
    <w:multiLevelType w:val="hybridMultilevel"/>
    <w:tmpl w:val="D6C61164"/>
    <w:lvl w:ilvl="0" w:tplc="0409001B">
      <w:start w:val="1"/>
      <w:numFmt w:val="lowerRoman"/>
      <w:lvlText w:val="%1."/>
      <w:lvlJc w:val="right"/>
      <w:pPr>
        <w:tabs>
          <w:tab w:val="num" w:pos="2563"/>
        </w:tabs>
        <w:ind w:left="2563" w:hanging="360"/>
      </w:pPr>
    </w:lvl>
    <w:lvl w:ilvl="1" w:tplc="04090019" w:tentative="1">
      <w:start w:val="1"/>
      <w:numFmt w:val="lowerLetter"/>
      <w:lvlText w:val="%2."/>
      <w:lvlJc w:val="left"/>
      <w:pPr>
        <w:tabs>
          <w:tab w:val="num" w:pos="3283"/>
        </w:tabs>
        <w:ind w:left="3283" w:hanging="360"/>
      </w:pPr>
    </w:lvl>
    <w:lvl w:ilvl="2" w:tplc="0409001B" w:tentative="1">
      <w:start w:val="1"/>
      <w:numFmt w:val="lowerRoman"/>
      <w:lvlText w:val="%3."/>
      <w:lvlJc w:val="right"/>
      <w:pPr>
        <w:tabs>
          <w:tab w:val="num" w:pos="4003"/>
        </w:tabs>
        <w:ind w:left="4003" w:hanging="180"/>
      </w:pPr>
    </w:lvl>
    <w:lvl w:ilvl="3" w:tplc="0409000F" w:tentative="1">
      <w:start w:val="1"/>
      <w:numFmt w:val="decimal"/>
      <w:lvlText w:val="%4."/>
      <w:lvlJc w:val="left"/>
      <w:pPr>
        <w:tabs>
          <w:tab w:val="num" w:pos="4723"/>
        </w:tabs>
        <w:ind w:left="4723" w:hanging="360"/>
      </w:pPr>
    </w:lvl>
    <w:lvl w:ilvl="4" w:tplc="04090019" w:tentative="1">
      <w:start w:val="1"/>
      <w:numFmt w:val="lowerLetter"/>
      <w:lvlText w:val="%5."/>
      <w:lvlJc w:val="left"/>
      <w:pPr>
        <w:tabs>
          <w:tab w:val="num" w:pos="5443"/>
        </w:tabs>
        <w:ind w:left="5443" w:hanging="360"/>
      </w:pPr>
    </w:lvl>
    <w:lvl w:ilvl="5" w:tplc="0409001B" w:tentative="1">
      <w:start w:val="1"/>
      <w:numFmt w:val="lowerRoman"/>
      <w:lvlText w:val="%6."/>
      <w:lvlJc w:val="right"/>
      <w:pPr>
        <w:tabs>
          <w:tab w:val="num" w:pos="6163"/>
        </w:tabs>
        <w:ind w:left="6163" w:hanging="180"/>
      </w:pPr>
    </w:lvl>
    <w:lvl w:ilvl="6" w:tplc="0409000F" w:tentative="1">
      <w:start w:val="1"/>
      <w:numFmt w:val="decimal"/>
      <w:lvlText w:val="%7."/>
      <w:lvlJc w:val="left"/>
      <w:pPr>
        <w:tabs>
          <w:tab w:val="num" w:pos="6883"/>
        </w:tabs>
        <w:ind w:left="6883" w:hanging="360"/>
      </w:pPr>
    </w:lvl>
    <w:lvl w:ilvl="7" w:tplc="04090019" w:tentative="1">
      <w:start w:val="1"/>
      <w:numFmt w:val="lowerLetter"/>
      <w:lvlText w:val="%8."/>
      <w:lvlJc w:val="left"/>
      <w:pPr>
        <w:tabs>
          <w:tab w:val="num" w:pos="7603"/>
        </w:tabs>
        <w:ind w:left="7603" w:hanging="360"/>
      </w:pPr>
    </w:lvl>
    <w:lvl w:ilvl="8" w:tplc="0409001B" w:tentative="1">
      <w:start w:val="1"/>
      <w:numFmt w:val="lowerRoman"/>
      <w:lvlText w:val="%9."/>
      <w:lvlJc w:val="right"/>
      <w:pPr>
        <w:tabs>
          <w:tab w:val="num" w:pos="8323"/>
        </w:tabs>
        <w:ind w:left="8323" w:hanging="180"/>
      </w:pPr>
    </w:lvl>
  </w:abstractNum>
  <w:abstractNum w:abstractNumId="17">
    <w:nsid w:val="5FE34A03"/>
    <w:multiLevelType w:val="hybridMultilevel"/>
    <w:tmpl w:val="48C2A81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613A43D5"/>
    <w:multiLevelType w:val="multilevel"/>
    <w:tmpl w:val="FE5EDFB2"/>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19">
    <w:nsid w:val="683573F6"/>
    <w:multiLevelType w:val="hybridMultilevel"/>
    <w:tmpl w:val="EF3C5CB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6B7F2809"/>
    <w:multiLevelType w:val="multilevel"/>
    <w:tmpl w:val="53D47040"/>
    <w:lvl w:ilvl="0">
      <w:start w:val="2"/>
      <w:numFmt w:val="decimal"/>
      <w:lvlText w:val="%1"/>
      <w:lvlJc w:val="left"/>
      <w:pPr>
        <w:tabs>
          <w:tab w:val="num" w:pos="360"/>
        </w:tabs>
        <w:ind w:left="360" w:hanging="360"/>
      </w:pPr>
      <w:rPr>
        <w:rFonts w:hint="default"/>
        <w:b/>
      </w:rPr>
    </w:lvl>
    <w:lvl w:ilvl="1">
      <w:start w:val="15"/>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21">
    <w:nsid w:val="70651594"/>
    <w:multiLevelType w:val="hybridMultilevel"/>
    <w:tmpl w:val="E54E6EF0"/>
    <w:lvl w:ilvl="0" w:tplc="04090001">
      <w:start w:val="1"/>
      <w:numFmt w:val="bullet"/>
      <w:lvlText w:val=""/>
      <w:lvlJc w:val="left"/>
      <w:pPr>
        <w:tabs>
          <w:tab w:val="num" w:pos="1058"/>
        </w:tabs>
        <w:ind w:left="1058" w:hanging="360"/>
      </w:pPr>
      <w:rPr>
        <w:rFonts w:ascii="Symbol" w:hAnsi="Symbol" w:hint="default"/>
      </w:rPr>
    </w:lvl>
    <w:lvl w:ilvl="1" w:tplc="04090003" w:tentative="1">
      <w:start w:val="1"/>
      <w:numFmt w:val="bullet"/>
      <w:lvlText w:val="o"/>
      <w:lvlJc w:val="left"/>
      <w:pPr>
        <w:tabs>
          <w:tab w:val="num" w:pos="1778"/>
        </w:tabs>
        <w:ind w:left="1778" w:hanging="360"/>
      </w:pPr>
      <w:rPr>
        <w:rFonts w:ascii="Courier New" w:hAnsi="Courier New" w:hint="default"/>
      </w:rPr>
    </w:lvl>
    <w:lvl w:ilvl="2" w:tplc="04090005" w:tentative="1">
      <w:start w:val="1"/>
      <w:numFmt w:val="bullet"/>
      <w:lvlText w:val=""/>
      <w:lvlJc w:val="left"/>
      <w:pPr>
        <w:tabs>
          <w:tab w:val="num" w:pos="2498"/>
        </w:tabs>
        <w:ind w:left="2498" w:hanging="360"/>
      </w:pPr>
      <w:rPr>
        <w:rFonts w:ascii="Wingdings" w:hAnsi="Wingdings" w:hint="default"/>
      </w:rPr>
    </w:lvl>
    <w:lvl w:ilvl="3" w:tplc="04090001" w:tentative="1">
      <w:start w:val="1"/>
      <w:numFmt w:val="bullet"/>
      <w:lvlText w:val=""/>
      <w:lvlJc w:val="left"/>
      <w:pPr>
        <w:tabs>
          <w:tab w:val="num" w:pos="3218"/>
        </w:tabs>
        <w:ind w:left="3218" w:hanging="360"/>
      </w:pPr>
      <w:rPr>
        <w:rFonts w:ascii="Symbol" w:hAnsi="Symbol" w:hint="default"/>
      </w:rPr>
    </w:lvl>
    <w:lvl w:ilvl="4" w:tplc="04090003" w:tentative="1">
      <w:start w:val="1"/>
      <w:numFmt w:val="bullet"/>
      <w:lvlText w:val="o"/>
      <w:lvlJc w:val="left"/>
      <w:pPr>
        <w:tabs>
          <w:tab w:val="num" w:pos="3938"/>
        </w:tabs>
        <w:ind w:left="3938" w:hanging="360"/>
      </w:pPr>
      <w:rPr>
        <w:rFonts w:ascii="Courier New" w:hAnsi="Courier New" w:hint="default"/>
      </w:rPr>
    </w:lvl>
    <w:lvl w:ilvl="5" w:tplc="04090005" w:tentative="1">
      <w:start w:val="1"/>
      <w:numFmt w:val="bullet"/>
      <w:lvlText w:val=""/>
      <w:lvlJc w:val="left"/>
      <w:pPr>
        <w:tabs>
          <w:tab w:val="num" w:pos="4658"/>
        </w:tabs>
        <w:ind w:left="4658" w:hanging="360"/>
      </w:pPr>
      <w:rPr>
        <w:rFonts w:ascii="Wingdings" w:hAnsi="Wingdings" w:hint="default"/>
      </w:rPr>
    </w:lvl>
    <w:lvl w:ilvl="6" w:tplc="04090001" w:tentative="1">
      <w:start w:val="1"/>
      <w:numFmt w:val="bullet"/>
      <w:lvlText w:val=""/>
      <w:lvlJc w:val="left"/>
      <w:pPr>
        <w:tabs>
          <w:tab w:val="num" w:pos="5378"/>
        </w:tabs>
        <w:ind w:left="5378" w:hanging="360"/>
      </w:pPr>
      <w:rPr>
        <w:rFonts w:ascii="Symbol" w:hAnsi="Symbol" w:hint="default"/>
      </w:rPr>
    </w:lvl>
    <w:lvl w:ilvl="7" w:tplc="04090003" w:tentative="1">
      <w:start w:val="1"/>
      <w:numFmt w:val="bullet"/>
      <w:lvlText w:val="o"/>
      <w:lvlJc w:val="left"/>
      <w:pPr>
        <w:tabs>
          <w:tab w:val="num" w:pos="6098"/>
        </w:tabs>
        <w:ind w:left="6098" w:hanging="360"/>
      </w:pPr>
      <w:rPr>
        <w:rFonts w:ascii="Courier New" w:hAnsi="Courier New" w:hint="default"/>
      </w:rPr>
    </w:lvl>
    <w:lvl w:ilvl="8" w:tplc="04090005" w:tentative="1">
      <w:start w:val="1"/>
      <w:numFmt w:val="bullet"/>
      <w:lvlText w:val=""/>
      <w:lvlJc w:val="left"/>
      <w:pPr>
        <w:tabs>
          <w:tab w:val="num" w:pos="6818"/>
        </w:tabs>
        <w:ind w:left="6818" w:hanging="360"/>
      </w:pPr>
      <w:rPr>
        <w:rFonts w:ascii="Wingdings" w:hAnsi="Wingdings" w:hint="default"/>
      </w:rPr>
    </w:lvl>
  </w:abstractNum>
  <w:abstractNum w:abstractNumId="22">
    <w:nsid w:val="76073BA4"/>
    <w:multiLevelType w:val="multilevel"/>
    <w:tmpl w:val="8B9C4A46"/>
    <w:lvl w:ilvl="0">
      <w:start w:val="1"/>
      <w:numFmt w:val="decimal"/>
      <w:lvlText w:val="%1"/>
      <w:legacy w:legacy="1" w:legacySpace="120" w:legacyIndent="360"/>
      <w:lvlJc w:val="left"/>
      <w:pPr>
        <w:ind w:left="360" w:hanging="360"/>
      </w:pPr>
      <w:rPr>
        <w:b/>
      </w:rPr>
    </w:lvl>
    <w:lvl w:ilvl="1">
      <w:start w:val="1"/>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440"/>
      <w:lvlJc w:val="left"/>
      <w:pPr>
        <w:ind w:left="4320" w:hanging="1440"/>
      </w:pPr>
      <w:rPr>
        <w:b/>
      </w:rPr>
    </w:lvl>
    <w:lvl w:ilvl="5">
      <w:start w:val="1"/>
      <w:numFmt w:val="decimal"/>
      <w:lvlText w:val="%1.%2.%3.%4.%5.%6"/>
      <w:legacy w:legacy="1" w:legacySpace="120" w:legacyIndent="1800"/>
      <w:lvlJc w:val="left"/>
      <w:pPr>
        <w:ind w:left="6120" w:hanging="1800"/>
      </w:pPr>
      <w:rPr>
        <w:b/>
      </w:rPr>
    </w:lvl>
    <w:lvl w:ilvl="6">
      <w:start w:val="1"/>
      <w:numFmt w:val="decimal"/>
      <w:lvlText w:val="%1.%2.%3.%4.%5.%6.%7"/>
      <w:legacy w:legacy="1" w:legacySpace="120" w:legacyIndent="1800"/>
      <w:lvlJc w:val="left"/>
      <w:pPr>
        <w:ind w:left="7920" w:hanging="1800"/>
      </w:pPr>
      <w:rPr>
        <w:b/>
      </w:rPr>
    </w:lvl>
    <w:lvl w:ilvl="7">
      <w:start w:val="1"/>
      <w:numFmt w:val="decimal"/>
      <w:lvlText w:val="%1.%2.%3.%4.%5.%6.%7.%8"/>
      <w:legacy w:legacy="1" w:legacySpace="120" w:legacyIndent="2160"/>
      <w:lvlJc w:val="left"/>
      <w:pPr>
        <w:ind w:left="10080" w:hanging="2160"/>
      </w:pPr>
      <w:rPr>
        <w:b/>
      </w:rPr>
    </w:lvl>
    <w:lvl w:ilvl="8">
      <w:start w:val="1"/>
      <w:numFmt w:val="decimal"/>
      <w:lvlText w:val="%1.%2.%3.%4.%5.%6.%7.%8.%9"/>
      <w:legacy w:legacy="1" w:legacySpace="120" w:legacyIndent="2520"/>
      <w:lvlJc w:val="left"/>
      <w:pPr>
        <w:ind w:left="12600" w:hanging="2520"/>
      </w:pPr>
      <w:rPr>
        <w:b/>
      </w:rPr>
    </w:lvl>
  </w:abstractNum>
  <w:abstractNum w:abstractNumId="23">
    <w:nsid w:val="77B07772"/>
    <w:multiLevelType w:val="multilevel"/>
    <w:tmpl w:val="4A644556"/>
    <w:lvl w:ilvl="0">
      <w:start w:val="7"/>
      <w:numFmt w:val="decimal"/>
      <w:lvlText w:val="%1"/>
      <w:lvlJc w:val="left"/>
      <w:pPr>
        <w:tabs>
          <w:tab w:val="num" w:pos="360"/>
        </w:tabs>
        <w:ind w:left="360" w:hanging="360"/>
      </w:pPr>
      <w:rPr>
        <w:rFonts w:hint="default"/>
        <w:b/>
      </w:rPr>
    </w:lvl>
    <w:lvl w:ilvl="1">
      <w:start w:val="3"/>
      <w:numFmt w:val="decimal"/>
      <w:lvlText w:val="%1.%2"/>
      <w:lvlJc w:val="left"/>
      <w:pPr>
        <w:tabs>
          <w:tab w:val="num" w:pos="1429"/>
        </w:tabs>
        <w:ind w:left="1429" w:hanging="720"/>
      </w:pPr>
      <w:rPr>
        <w:rFonts w:hint="default"/>
        <w:b/>
      </w:rPr>
    </w:lvl>
    <w:lvl w:ilvl="2">
      <w:start w:val="1"/>
      <w:numFmt w:val="decimal"/>
      <w:lvlText w:val="%1.%2.%3"/>
      <w:lvlJc w:val="left"/>
      <w:pPr>
        <w:tabs>
          <w:tab w:val="num" w:pos="2498"/>
        </w:tabs>
        <w:ind w:left="2498" w:hanging="108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4276"/>
        </w:tabs>
        <w:ind w:left="4276" w:hanging="1440"/>
      </w:pPr>
      <w:rPr>
        <w:rFonts w:hint="default"/>
        <w:b/>
      </w:rPr>
    </w:lvl>
    <w:lvl w:ilvl="5">
      <w:start w:val="1"/>
      <w:numFmt w:val="decimal"/>
      <w:lvlText w:val="%1.%2.%3.%4.%5.%6"/>
      <w:lvlJc w:val="left"/>
      <w:pPr>
        <w:tabs>
          <w:tab w:val="num" w:pos="5345"/>
        </w:tabs>
        <w:ind w:left="5345" w:hanging="1800"/>
      </w:pPr>
      <w:rPr>
        <w:rFonts w:hint="default"/>
        <w:b/>
      </w:rPr>
    </w:lvl>
    <w:lvl w:ilvl="6">
      <w:start w:val="1"/>
      <w:numFmt w:val="decimal"/>
      <w:lvlText w:val="%1.%2.%3.%4.%5.%6.%7"/>
      <w:lvlJc w:val="left"/>
      <w:pPr>
        <w:tabs>
          <w:tab w:val="num" w:pos="6414"/>
        </w:tabs>
        <w:ind w:left="6414" w:hanging="2160"/>
      </w:pPr>
      <w:rPr>
        <w:rFonts w:hint="default"/>
        <w:b/>
      </w:rPr>
    </w:lvl>
    <w:lvl w:ilvl="7">
      <w:start w:val="1"/>
      <w:numFmt w:val="decimal"/>
      <w:lvlText w:val="%1.%2.%3.%4.%5.%6.%7.%8"/>
      <w:lvlJc w:val="left"/>
      <w:pPr>
        <w:tabs>
          <w:tab w:val="num" w:pos="7123"/>
        </w:tabs>
        <w:ind w:left="7123" w:hanging="2160"/>
      </w:pPr>
      <w:rPr>
        <w:rFonts w:hint="default"/>
        <w:b/>
      </w:rPr>
    </w:lvl>
    <w:lvl w:ilvl="8">
      <w:start w:val="1"/>
      <w:numFmt w:val="decimal"/>
      <w:lvlText w:val="%1.%2.%3.%4.%5.%6.%7.%8.%9"/>
      <w:lvlJc w:val="left"/>
      <w:pPr>
        <w:tabs>
          <w:tab w:val="num" w:pos="8192"/>
        </w:tabs>
        <w:ind w:left="8192" w:hanging="2520"/>
      </w:pPr>
      <w:rPr>
        <w:rFonts w:hint="default"/>
        <w:b/>
      </w:rPr>
    </w:lvl>
  </w:abstractNum>
  <w:abstractNum w:abstractNumId="24">
    <w:nsid w:val="7E80376A"/>
    <w:multiLevelType w:val="multilevel"/>
    <w:tmpl w:val="455AEEDA"/>
    <w:lvl w:ilvl="0">
      <w:start w:val="7"/>
      <w:numFmt w:val="decimal"/>
      <w:lvlText w:val="%1"/>
      <w:lvlJc w:val="left"/>
      <w:pPr>
        <w:tabs>
          <w:tab w:val="num" w:pos="810"/>
        </w:tabs>
        <w:ind w:left="810" w:hanging="810"/>
      </w:pPr>
      <w:rPr>
        <w:rFonts w:hint="default"/>
        <w:b/>
      </w:rPr>
    </w:lvl>
    <w:lvl w:ilvl="1">
      <w:start w:val="1"/>
      <w:numFmt w:val="decimal"/>
      <w:lvlText w:val="%1.%2"/>
      <w:lvlJc w:val="left"/>
      <w:pPr>
        <w:tabs>
          <w:tab w:val="num" w:pos="1800"/>
        </w:tabs>
        <w:ind w:left="1800" w:hanging="810"/>
      </w:pPr>
      <w:rPr>
        <w:rFonts w:hint="default"/>
        <w:b/>
      </w:rPr>
    </w:lvl>
    <w:lvl w:ilvl="2">
      <w:start w:val="1"/>
      <w:numFmt w:val="decimal"/>
      <w:lvlText w:val="%1.%2.%3"/>
      <w:lvlJc w:val="left"/>
      <w:pPr>
        <w:tabs>
          <w:tab w:val="num" w:pos="2790"/>
        </w:tabs>
        <w:ind w:left="2790" w:hanging="810"/>
      </w:pPr>
      <w:rPr>
        <w:rFonts w:hint="default"/>
        <w:b/>
      </w:rPr>
    </w:lvl>
    <w:lvl w:ilvl="3">
      <w:start w:val="1"/>
      <w:numFmt w:val="decimal"/>
      <w:lvlText w:val="%1.%2.%3.%4"/>
      <w:lvlJc w:val="left"/>
      <w:pPr>
        <w:tabs>
          <w:tab w:val="num" w:pos="3780"/>
        </w:tabs>
        <w:ind w:left="3780" w:hanging="810"/>
      </w:pPr>
      <w:rPr>
        <w:rFonts w:hint="default"/>
        <w:b/>
      </w:rPr>
    </w:lvl>
    <w:lvl w:ilvl="4">
      <w:start w:val="1"/>
      <w:numFmt w:val="decimal"/>
      <w:lvlText w:val="%1.%2.%3.%4.%5"/>
      <w:lvlJc w:val="left"/>
      <w:pPr>
        <w:tabs>
          <w:tab w:val="num" w:pos="5040"/>
        </w:tabs>
        <w:ind w:left="5040" w:hanging="1080"/>
      </w:pPr>
      <w:rPr>
        <w:rFonts w:hint="default"/>
        <w:b/>
      </w:rPr>
    </w:lvl>
    <w:lvl w:ilvl="5">
      <w:start w:val="1"/>
      <w:numFmt w:val="decimal"/>
      <w:lvlText w:val="%1.%2.%3.%4.%5.%6"/>
      <w:lvlJc w:val="left"/>
      <w:pPr>
        <w:tabs>
          <w:tab w:val="num" w:pos="6030"/>
        </w:tabs>
        <w:ind w:left="6030" w:hanging="1080"/>
      </w:pPr>
      <w:rPr>
        <w:rFonts w:hint="default"/>
        <w:b/>
      </w:rPr>
    </w:lvl>
    <w:lvl w:ilvl="6">
      <w:start w:val="1"/>
      <w:numFmt w:val="decimal"/>
      <w:lvlText w:val="%1.%2.%3.%4.%5.%6.%7"/>
      <w:lvlJc w:val="left"/>
      <w:pPr>
        <w:tabs>
          <w:tab w:val="num" w:pos="7380"/>
        </w:tabs>
        <w:ind w:left="7380" w:hanging="1440"/>
      </w:pPr>
      <w:rPr>
        <w:rFonts w:hint="default"/>
        <w:b/>
      </w:rPr>
    </w:lvl>
    <w:lvl w:ilvl="7">
      <w:start w:val="1"/>
      <w:numFmt w:val="decimal"/>
      <w:lvlText w:val="%1.%2.%3.%4.%5.%6.%7.%8"/>
      <w:lvlJc w:val="left"/>
      <w:pPr>
        <w:tabs>
          <w:tab w:val="num" w:pos="8370"/>
        </w:tabs>
        <w:ind w:left="8370" w:hanging="1440"/>
      </w:pPr>
      <w:rPr>
        <w:rFonts w:hint="default"/>
        <w:b/>
      </w:rPr>
    </w:lvl>
    <w:lvl w:ilvl="8">
      <w:start w:val="1"/>
      <w:numFmt w:val="decimal"/>
      <w:lvlText w:val="%1.%2.%3.%4.%5.%6.%7.%8.%9"/>
      <w:lvlJc w:val="left"/>
      <w:pPr>
        <w:tabs>
          <w:tab w:val="num" w:pos="9720"/>
        </w:tabs>
        <w:ind w:left="9720" w:hanging="1800"/>
      </w:pPr>
      <w:rPr>
        <w:rFonts w:hint="default"/>
        <w:b/>
      </w:rPr>
    </w:lvl>
  </w:abstractNum>
  <w:num w:numId="1">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2">
    <w:abstractNumId w:val="22"/>
  </w:num>
  <w:num w:numId="3">
    <w:abstractNumId w:val="16"/>
  </w:num>
  <w:num w:numId="4">
    <w:abstractNumId w:val="15"/>
  </w:num>
  <w:num w:numId="5">
    <w:abstractNumId w:val="1"/>
  </w:num>
  <w:num w:numId="6">
    <w:abstractNumId w:val="6"/>
  </w:num>
  <w:num w:numId="7">
    <w:abstractNumId w:val="5"/>
  </w:num>
  <w:num w:numId="8">
    <w:abstractNumId w:val="3"/>
  </w:num>
  <w:num w:numId="9">
    <w:abstractNumId w:val="24"/>
  </w:num>
  <w:num w:numId="10">
    <w:abstractNumId w:val="7"/>
  </w:num>
  <w:num w:numId="11">
    <w:abstractNumId w:val="8"/>
  </w:num>
  <w:num w:numId="12">
    <w:abstractNumId w:val="21"/>
  </w:num>
  <w:num w:numId="13">
    <w:abstractNumId w:val="11"/>
  </w:num>
  <w:num w:numId="14">
    <w:abstractNumId w:val="13"/>
  </w:num>
  <w:num w:numId="15">
    <w:abstractNumId w:val="20"/>
  </w:num>
  <w:num w:numId="16">
    <w:abstractNumId w:val="14"/>
  </w:num>
  <w:num w:numId="17">
    <w:abstractNumId w:val="4"/>
  </w:num>
  <w:num w:numId="18">
    <w:abstractNumId w:val="9"/>
  </w:num>
  <w:num w:numId="19">
    <w:abstractNumId w:val="18"/>
  </w:num>
  <w:num w:numId="20">
    <w:abstractNumId w:val="10"/>
  </w:num>
  <w:num w:numId="21">
    <w:abstractNumId w:val="12"/>
  </w:num>
  <w:num w:numId="22">
    <w:abstractNumId w:val="17"/>
  </w:num>
  <w:num w:numId="23">
    <w:abstractNumId w:val="19"/>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22"/>
    <w:rsid w:val="0004426B"/>
    <w:rsid w:val="000F141B"/>
    <w:rsid w:val="00126067"/>
    <w:rsid w:val="001E6B3B"/>
    <w:rsid w:val="002408AF"/>
    <w:rsid w:val="005460B9"/>
    <w:rsid w:val="005C66AA"/>
    <w:rsid w:val="00631A1F"/>
    <w:rsid w:val="00790B22"/>
    <w:rsid w:val="009454B9"/>
    <w:rsid w:val="009A7C91"/>
    <w:rsid w:val="009D747D"/>
    <w:rsid w:val="00C13322"/>
    <w:rsid w:val="00C425CD"/>
    <w:rsid w:val="00F716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tabs>
        <w:tab w:val="left" w:pos="0"/>
        <w:tab w:val="left" w:pos="426"/>
        <w:tab w:val="left" w:pos="1800"/>
        <w:tab w:val="left" w:pos="2160"/>
      </w:tabs>
      <w:outlineLvl w:val="2"/>
    </w:pPr>
    <w:rPr>
      <w:rFonts w:ascii="Arial (W1)" w:hAnsi="Arial (W1)"/>
      <w:b/>
    </w:rPr>
  </w:style>
  <w:style w:type="paragraph" w:styleId="Heading4">
    <w:name w:val="heading 4"/>
    <w:basedOn w:val="Normal"/>
    <w:next w:val="Normal"/>
    <w:qFormat/>
    <w:pPr>
      <w:keepNext/>
      <w:tabs>
        <w:tab w:val="left" w:pos="1418"/>
      </w:tabs>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sz w:val="28"/>
    </w:rPr>
  </w:style>
  <w:style w:type="character" w:customStyle="1" w:styleId="block">
    <w:name w:val="block"/>
    <w:basedOn w:val="DefaultParagraphFont"/>
  </w:style>
  <w:style w:type="paragraph" w:styleId="BodyText2">
    <w:name w:val="Body Text 2"/>
    <w:basedOn w:val="Normal"/>
    <w:semiHidden/>
    <w:pPr>
      <w:tabs>
        <w:tab w:val="left" w:pos="1080"/>
      </w:tabs>
      <w:ind w:left="720"/>
      <w:jc w:val="both"/>
    </w:pPr>
  </w:style>
  <w:style w:type="paragraph" w:styleId="BodyTextIndent">
    <w:name w:val="Body Text Indent"/>
    <w:basedOn w:val="Normal"/>
    <w:semiHidden/>
    <w:pPr>
      <w:tabs>
        <w:tab w:val="left" w:pos="1800"/>
        <w:tab w:val="left" w:pos="2160"/>
      </w:tabs>
      <w:ind w:left="993"/>
    </w:pPr>
  </w:style>
  <w:style w:type="paragraph" w:styleId="BodyTextIndent2">
    <w:name w:val="Body Text Indent 2"/>
    <w:basedOn w:val="Normal"/>
    <w:semiHidden/>
    <w:pPr>
      <w:tabs>
        <w:tab w:val="left" w:pos="1800"/>
        <w:tab w:val="left" w:pos="2160"/>
      </w:tabs>
      <w:ind w:left="993" w:hanging="993"/>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Indent3">
    <w:name w:val="Body Text Indent 3"/>
    <w:basedOn w:val="Normal"/>
    <w:semiHidden/>
    <w:pPr>
      <w:tabs>
        <w:tab w:val="left" w:pos="1276"/>
      </w:tabs>
      <w:ind w:left="709"/>
      <w:jc w:val="both"/>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semiHidden/>
    <w:pPr>
      <w:tabs>
        <w:tab w:val="left" w:pos="1418"/>
      </w:tabs>
      <w:jc w:val="both"/>
    </w:pPr>
  </w:style>
  <w:style w:type="paragraph" w:styleId="BodyText3">
    <w:name w:val="Body Text 3"/>
    <w:basedOn w:val="Normal"/>
    <w:semiHidden/>
    <w:pPr>
      <w:overflowPunct/>
      <w:textAlignment w:val="auto"/>
    </w:pPr>
    <w:rPr>
      <w:color w:val="000000"/>
      <w:szCs w:val="24"/>
      <w:lang w:val="en-US"/>
    </w:rPr>
  </w:style>
  <w:style w:type="character" w:customStyle="1" w:styleId="FooterChar">
    <w:name w:val="Footer Char"/>
    <w:link w:val="Footer"/>
    <w:uiPriority w:val="99"/>
    <w:rsid w:val="00790B22"/>
    <w:rPr>
      <w:sz w:val="24"/>
      <w:lang w:eastAsia="en-US"/>
    </w:rPr>
  </w:style>
  <w:style w:type="paragraph" w:styleId="BalloonText">
    <w:name w:val="Balloon Text"/>
    <w:basedOn w:val="Normal"/>
    <w:link w:val="BalloonTextChar"/>
    <w:uiPriority w:val="99"/>
    <w:semiHidden/>
    <w:unhideWhenUsed/>
    <w:rsid w:val="005460B9"/>
    <w:rPr>
      <w:rFonts w:ascii="Tahoma" w:hAnsi="Tahoma" w:cs="Tahoma"/>
      <w:sz w:val="16"/>
      <w:szCs w:val="16"/>
    </w:rPr>
  </w:style>
  <w:style w:type="character" w:customStyle="1" w:styleId="BalloonTextChar">
    <w:name w:val="Balloon Text Char"/>
    <w:basedOn w:val="DefaultParagraphFont"/>
    <w:link w:val="BalloonText"/>
    <w:uiPriority w:val="99"/>
    <w:semiHidden/>
    <w:rsid w:val="005460B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tabs>
        <w:tab w:val="left" w:pos="0"/>
        <w:tab w:val="left" w:pos="426"/>
        <w:tab w:val="left" w:pos="1800"/>
        <w:tab w:val="left" w:pos="2160"/>
      </w:tabs>
      <w:outlineLvl w:val="2"/>
    </w:pPr>
    <w:rPr>
      <w:rFonts w:ascii="Arial (W1)" w:hAnsi="Arial (W1)"/>
      <w:b/>
    </w:rPr>
  </w:style>
  <w:style w:type="paragraph" w:styleId="Heading4">
    <w:name w:val="heading 4"/>
    <w:basedOn w:val="Normal"/>
    <w:next w:val="Normal"/>
    <w:qFormat/>
    <w:pPr>
      <w:keepNext/>
      <w:tabs>
        <w:tab w:val="left" w:pos="1418"/>
      </w:tabs>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sz w:val="28"/>
    </w:rPr>
  </w:style>
  <w:style w:type="character" w:customStyle="1" w:styleId="block">
    <w:name w:val="block"/>
    <w:basedOn w:val="DefaultParagraphFont"/>
  </w:style>
  <w:style w:type="paragraph" w:styleId="BodyText2">
    <w:name w:val="Body Text 2"/>
    <w:basedOn w:val="Normal"/>
    <w:semiHidden/>
    <w:pPr>
      <w:tabs>
        <w:tab w:val="left" w:pos="1080"/>
      </w:tabs>
      <w:ind w:left="720"/>
      <w:jc w:val="both"/>
    </w:pPr>
  </w:style>
  <w:style w:type="paragraph" w:styleId="BodyTextIndent">
    <w:name w:val="Body Text Indent"/>
    <w:basedOn w:val="Normal"/>
    <w:semiHidden/>
    <w:pPr>
      <w:tabs>
        <w:tab w:val="left" w:pos="1800"/>
        <w:tab w:val="left" w:pos="2160"/>
      </w:tabs>
      <w:ind w:left="993"/>
    </w:pPr>
  </w:style>
  <w:style w:type="paragraph" w:styleId="BodyTextIndent2">
    <w:name w:val="Body Text Indent 2"/>
    <w:basedOn w:val="Normal"/>
    <w:semiHidden/>
    <w:pPr>
      <w:tabs>
        <w:tab w:val="left" w:pos="1800"/>
        <w:tab w:val="left" w:pos="2160"/>
      </w:tabs>
      <w:ind w:left="993" w:hanging="993"/>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Indent3">
    <w:name w:val="Body Text Indent 3"/>
    <w:basedOn w:val="Normal"/>
    <w:semiHidden/>
    <w:pPr>
      <w:tabs>
        <w:tab w:val="left" w:pos="1276"/>
      </w:tabs>
      <w:ind w:left="709"/>
      <w:jc w:val="both"/>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semiHidden/>
    <w:pPr>
      <w:tabs>
        <w:tab w:val="left" w:pos="1418"/>
      </w:tabs>
      <w:jc w:val="both"/>
    </w:pPr>
  </w:style>
  <w:style w:type="paragraph" w:styleId="BodyText3">
    <w:name w:val="Body Text 3"/>
    <w:basedOn w:val="Normal"/>
    <w:semiHidden/>
    <w:pPr>
      <w:overflowPunct/>
      <w:textAlignment w:val="auto"/>
    </w:pPr>
    <w:rPr>
      <w:color w:val="000000"/>
      <w:szCs w:val="24"/>
      <w:lang w:val="en-US"/>
    </w:rPr>
  </w:style>
  <w:style w:type="character" w:customStyle="1" w:styleId="FooterChar">
    <w:name w:val="Footer Char"/>
    <w:link w:val="Footer"/>
    <w:uiPriority w:val="99"/>
    <w:rsid w:val="00790B22"/>
    <w:rPr>
      <w:sz w:val="24"/>
      <w:lang w:eastAsia="en-US"/>
    </w:rPr>
  </w:style>
  <w:style w:type="paragraph" w:styleId="BalloonText">
    <w:name w:val="Balloon Text"/>
    <w:basedOn w:val="Normal"/>
    <w:link w:val="BalloonTextChar"/>
    <w:uiPriority w:val="99"/>
    <w:semiHidden/>
    <w:unhideWhenUsed/>
    <w:rsid w:val="005460B9"/>
    <w:rPr>
      <w:rFonts w:ascii="Tahoma" w:hAnsi="Tahoma" w:cs="Tahoma"/>
      <w:sz w:val="16"/>
      <w:szCs w:val="16"/>
    </w:rPr>
  </w:style>
  <w:style w:type="character" w:customStyle="1" w:styleId="BalloonTextChar">
    <w:name w:val="Balloon Text Char"/>
    <w:basedOn w:val="DefaultParagraphFont"/>
    <w:link w:val="BalloonText"/>
    <w:uiPriority w:val="99"/>
    <w:semiHidden/>
    <w:rsid w:val="005460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53557a5-4810-42c8-bbed-32755ff901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FE9C8E9A12BC4182D31596C379689E" ma:contentTypeVersion="4" ma:contentTypeDescription="Create a new document." ma:contentTypeScope="" ma:versionID="48a6bf61e199846e7fcddadbb0480aea">
  <xsd:schema xmlns:xsd="http://www.w3.org/2001/XMLSchema" xmlns:xs="http://www.w3.org/2001/XMLSchema" xmlns:p="http://schemas.microsoft.com/office/2006/metadata/properties" xmlns:ns1="http://schemas.microsoft.com/sharepoint/v3" xmlns:ns2="653557a5-4810-42c8-bbed-32755ff901a0" targetNamespace="http://schemas.microsoft.com/office/2006/metadata/properties" ma:root="true" ma:fieldsID="9e3442299bf32e2d23b48298e08f335c" ns1:_="" ns2:_="">
    <xsd:import namespace="http://schemas.microsoft.com/sharepoint/v3"/>
    <xsd:import namespace="653557a5-4810-42c8-bbed-32755ff901a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3557a5-4810-42c8-bbed-32755ff901a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92C093-C2C6-4D18-831F-E57F9358D96A}">
  <ds:schemaRefs>
    <ds:schemaRef ds:uri="http://purl.org/dc/elements/1.1/"/>
    <ds:schemaRef ds:uri="http://schemas.microsoft.com/sharepoint/v3"/>
    <ds:schemaRef ds:uri="653557a5-4810-42c8-bbed-32755ff901a0"/>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EB438B2-5CC0-451B-8C30-3C6A4A2F8934}">
  <ds:schemaRefs>
    <ds:schemaRef ds:uri="http://schemas.microsoft.com/sharepoint/v3/contenttype/forms"/>
  </ds:schemaRefs>
</ds:datastoreItem>
</file>

<file path=customXml/itemProps3.xml><?xml version="1.0" encoding="utf-8"?>
<ds:datastoreItem xmlns:ds="http://schemas.openxmlformats.org/officeDocument/2006/customXml" ds:itemID="{110C45B1-1F27-434F-8D37-F4A3DC906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3557a5-4810-42c8-bbed-32755ff90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AA99AC0C.dotm</Template>
  <TotalTime>1</TotalTime>
  <Pages>6</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Policy #12 Selection of Participants</vt:lpstr>
    </vt:vector>
  </TitlesOfParts>
  <Company>NSW Attorney General's Department</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#12 Selection of Participants</dc:title>
  <dc:creator>NSW Attorney General's Department</dc:creator>
  <cp:lastModifiedBy>Jan Dutton</cp:lastModifiedBy>
  <cp:revision>2</cp:revision>
  <cp:lastPrinted>2018-10-30T02:48:00Z</cp:lastPrinted>
  <dcterms:created xsi:type="dcterms:W3CDTF">2020-05-04T22:34:00Z</dcterms:created>
  <dcterms:modified xsi:type="dcterms:W3CDTF">2020-05-04T22:34:00Z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0x01010073FE9C8E9A12BC4182D31596C379689E</vt:lpwstr>
  </property>
</Properties>
</file>